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7184" w:rsidRPr="00E65422" w:rsidRDefault="007347B6" w:rsidP="00C27D9D">
      <w:pPr>
        <w:jc w:val="center"/>
        <w:rPr>
          <w:color w:val="auto"/>
        </w:rPr>
      </w:pPr>
      <w:r w:rsidRPr="00E65422">
        <w:rPr>
          <w:color w:val="auto"/>
        </w:rPr>
        <w:t>特例監理技術者の配置を</w:t>
      </w:r>
      <w:r w:rsidR="00715E1B" w:rsidRPr="00E65422">
        <w:rPr>
          <w:rFonts w:hint="eastAsia"/>
          <w:color w:val="auto"/>
        </w:rPr>
        <w:t>行う</w:t>
      </w:r>
      <w:r w:rsidRPr="00E65422">
        <w:rPr>
          <w:color w:val="auto"/>
        </w:rPr>
        <w:t>場合の確認事項</w:t>
      </w:r>
    </w:p>
    <w:p w:rsidR="00C27D9D" w:rsidRPr="00E65422" w:rsidRDefault="00C27D9D" w:rsidP="00C27D9D">
      <w:pPr>
        <w:jc w:val="center"/>
        <w:rPr>
          <w:color w:val="auto"/>
        </w:rPr>
      </w:pPr>
    </w:p>
    <w:p w:rsidR="00F0017C" w:rsidRPr="00E65422" w:rsidRDefault="004D2FE6" w:rsidP="004D2FE6">
      <w:pPr>
        <w:spacing w:after="0" w:line="259" w:lineRule="auto"/>
        <w:ind w:left="1844" w:right="0"/>
        <w:jc w:val="center"/>
        <w:rPr>
          <w:color w:val="auto"/>
        </w:rPr>
      </w:pPr>
      <w:r w:rsidRPr="00E65422">
        <w:rPr>
          <w:rFonts w:hint="eastAsia"/>
          <w:color w:val="auto"/>
        </w:rPr>
        <w:t xml:space="preserve">　　　　　　　　</w:t>
      </w:r>
      <w:r w:rsidR="007347B6" w:rsidRPr="00E65422">
        <w:rPr>
          <w:color w:val="auto"/>
        </w:rPr>
        <w:t>会社名：</w:t>
      </w:r>
      <w:r w:rsidR="007347B6" w:rsidRPr="00E65422">
        <w:rPr>
          <w:rFonts w:ascii="Calibri" w:eastAsia="Calibri" w:hAnsi="Calibri" w:cs="Calibri"/>
          <w:noProof/>
          <w:color w:val="auto"/>
          <w:sz w:val="22"/>
        </w:rPr>
        <mc:AlternateContent>
          <mc:Choice Requires="wpg">
            <w:drawing>
              <wp:inline distT="0" distB="0" distL="0" distR="0">
                <wp:extent cx="2622804" cy="9144"/>
                <wp:effectExtent l="0" t="0" r="0" b="0"/>
                <wp:docPr id="3631" name="Group 3631"/>
                <wp:cNvGraphicFramePr/>
                <a:graphic xmlns:a="http://schemas.openxmlformats.org/drawingml/2006/main">
                  <a:graphicData uri="http://schemas.microsoft.com/office/word/2010/wordprocessingGroup">
                    <wpg:wgp>
                      <wpg:cNvGrpSpPr/>
                      <wpg:grpSpPr>
                        <a:xfrm>
                          <a:off x="0" y="0"/>
                          <a:ext cx="2622804" cy="9144"/>
                          <a:chOff x="0" y="0"/>
                          <a:chExt cx="2622804" cy="9144"/>
                        </a:xfrm>
                      </wpg:grpSpPr>
                      <wps:wsp>
                        <wps:cNvPr id="3870" name="Shape 3870"/>
                        <wps:cNvSpPr/>
                        <wps:spPr>
                          <a:xfrm>
                            <a:off x="0" y="0"/>
                            <a:ext cx="2622804" cy="9144"/>
                          </a:xfrm>
                          <a:custGeom>
                            <a:avLst/>
                            <a:gdLst/>
                            <a:ahLst/>
                            <a:cxnLst/>
                            <a:rect l="0" t="0" r="0" b="0"/>
                            <a:pathLst>
                              <a:path w="2622804" h="9144">
                                <a:moveTo>
                                  <a:pt x="0" y="0"/>
                                </a:moveTo>
                                <a:lnTo>
                                  <a:pt x="2622804" y="0"/>
                                </a:lnTo>
                                <a:lnTo>
                                  <a:pt x="26228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8282266" id="Group 3631" o:spid="_x0000_s1026" style="width:206.5pt;height:.7pt;mso-position-horizontal-relative:char;mso-position-vertical-relative:line" coordsize="2622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">
                <v:shape id="Shape 3870" o:spid="_x0000_s1027" style="position:absolute;width:26228;height:91;visibility:visible;mso-wrap-style:square;v-text-anchor:top" coordsize="262280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" path="m,l2622804,r,9144l,9144,,e" fillcolor="black" stroked="f" strokeweight="0">
                  <v:stroke miterlimit="83231f" joinstyle="miter"/>
                  <v:path arrowok="t" textboxrect="0,0,2622804,9144"/>
                </v:shape>
                <w10:anchorlock/>
              </v:group>
            </w:pict>
          </mc:Fallback>
        </mc:AlternateContent>
      </w:r>
    </w:p>
    <w:tbl>
      <w:tblPr>
        <w:tblStyle w:val="TableGrid"/>
        <w:tblW w:w="8940" w:type="dxa"/>
        <w:tblInd w:w="187" w:type="dxa"/>
        <w:tblCellMar>
          <w:top w:w="100" w:type="dxa"/>
          <w:left w:w="62" w:type="dxa"/>
          <w:bottom w:w="100" w:type="dxa"/>
          <w:right w:w="65" w:type="dxa"/>
        </w:tblCellMar>
        <w:tblLook w:val="04A0" w:firstRow="1" w:lastRow="0" w:firstColumn="1" w:lastColumn="0" w:noHBand="0" w:noVBand="1"/>
      </w:tblPr>
      <w:tblGrid>
        <w:gridCol w:w="907"/>
        <w:gridCol w:w="8033"/>
      </w:tblGrid>
      <w:tr w:rsidR="00E65422" w:rsidRPr="00E65422" w:rsidTr="00AC30D9">
        <w:trPr>
          <w:trHeight w:val="904"/>
        </w:trPr>
        <w:tc>
          <w:tcPr>
            <w:tcW w:w="907" w:type="dxa"/>
            <w:tcBorders>
              <w:top w:val="single" w:sz="6" w:space="0" w:color="000000"/>
              <w:left w:val="single" w:sz="6" w:space="0" w:color="000000"/>
              <w:bottom w:val="single" w:sz="6" w:space="0" w:color="000000"/>
              <w:right w:val="single" w:sz="6" w:space="0" w:color="000000"/>
            </w:tcBorders>
          </w:tcPr>
          <w:p w:rsidR="004D2FE6" w:rsidRPr="00E65422" w:rsidRDefault="004D2FE6">
            <w:pPr>
              <w:spacing w:line="259" w:lineRule="auto"/>
              <w:ind w:left="269" w:right="0" w:firstLine="0"/>
              <w:rPr>
                <w:color w:val="auto"/>
              </w:rPr>
            </w:pPr>
          </w:p>
          <w:p w:rsidR="00F0017C" w:rsidRPr="00E65422" w:rsidRDefault="007347B6">
            <w:pPr>
              <w:spacing w:line="259" w:lineRule="auto"/>
              <w:ind w:left="269" w:right="0" w:firstLine="0"/>
              <w:rPr>
                <w:color w:val="auto"/>
              </w:rPr>
            </w:pPr>
            <w:r w:rsidRPr="00E65422">
              <w:rPr>
                <w:color w:val="auto"/>
              </w:rPr>
              <w:t>□</w:t>
            </w:r>
          </w:p>
        </w:tc>
        <w:tc>
          <w:tcPr>
            <w:tcW w:w="8033" w:type="dxa"/>
            <w:tcBorders>
              <w:top w:val="single" w:sz="6" w:space="0" w:color="000000"/>
              <w:left w:val="single" w:sz="6" w:space="0" w:color="000000"/>
              <w:bottom w:val="single" w:sz="6" w:space="0" w:color="000000"/>
              <w:right w:val="single" w:sz="6" w:space="0" w:color="000000"/>
            </w:tcBorders>
            <w:vAlign w:val="center"/>
          </w:tcPr>
          <w:p w:rsidR="00F0017C" w:rsidRPr="00E65422" w:rsidRDefault="007347B6" w:rsidP="00925B28">
            <w:pPr>
              <w:spacing w:line="259" w:lineRule="auto"/>
              <w:ind w:leftChars="100" w:left="240" w:right="0" w:firstLineChars="100" w:firstLine="240"/>
              <w:rPr>
                <w:color w:val="auto"/>
              </w:rPr>
            </w:pPr>
            <w:r w:rsidRPr="00E65422">
              <w:rPr>
                <w:color w:val="auto"/>
              </w:rPr>
              <w:t>建設業法第２６条第３項</w:t>
            </w:r>
            <w:r w:rsidR="005A7632" w:rsidRPr="00E65422">
              <w:rPr>
                <w:rFonts w:hint="eastAsia"/>
                <w:color w:val="auto"/>
              </w:rPr>
              <w:t>第２号</w:t>
            </w:r>
            <w:r w:rsidRPr="00E65422">
              <w:rPr>
                <w:color w:val="auto"/>
              </w:rPr>
              <w:t>による監理技術者を補佐する者（以下「監理技術者補佐」という。）を専任で配置すること。</w:t>
            </w:r>
          </w:p>
        </w:tc>
      </w:tr>
      <w:tr w:rsidR="00E65422" w:rsidRPr="00E65422" w:rsidTr="00C27D9D">
        <w:trPr>
          <w:trHeight w:val="1845"/>
        </w:trPr>
        <w:tc>
          <w:tcPr>
            <w:tcW w:w="907" w:type="dxa"/>
            <w:tcBorders>
              <w:top w:val="single" w:sz="6" w:space="0" w:color="000000"/>
              <w:left w:val="single" w:sz="6" w:space="0" w:color="000000"/>
              <w:bottom w:val="single" w:sz="6" w:space="0" w:color="000000"/>
              <w:right w:val="single" w:sz="6" w:space="0" w:color="000000"/>
            </w:tcBorders>
          </w:tcPr>
          <w:p w:rsidR="004D2FE6" w:rsidRPr="00E65422" w:rsidRDefault="004D2FE6">
            <w:pPr>
              <w:spacing w:line="259" w:lineRule="auto"/>
              <w:ind w:left="269" w:right="0" w:firstLine="0"/>
              <w:rPr>
                <w:color w:val="auto"/>
              </w:rPr>
            </w:pPr>
          </w:p>
          <w:p w:rsidR="00AC30D9" w:rsidRPr="00E65422" w:rsidRDefault="00AC30D9">
            <w:pPr>
              <w:spacing w:line="259" w:lineRule="auto"/>
              <w:ind w:left="269" w:right="0" w:firstLine="0"/>
              <w:rPr>
                <w:color w:val="auto"/>
              </w:rPr>
            </w:pPr>
          </w:p>
          <w:p w:rsidR="00F0017C" w:rsidRPr="00E65422" w:rsidRDefault="007347B6">
            <w:pPr>
              <w:spacing w:line="259" w:lineRule="auto"/>
              <w:ind w:left="269" w:right="0" w:firstLine="0"/>
              <w:rPr>
                <w:color w:val="auto"/>
              </w:rPr>
            </w:pPr>
            <w:r w:rsidRPr="00E65422">
              <w:rPr>
                <w:color w:val="auto"/>
              </w:rPr>
              <w:t>□</w:t>
            </w:r>
          </w:p>
        </w:tc>
        <w:tc>
          <w:tcPr>
            <w:tcW w:w="8033" w:type="dxa"/>
            <w:tcBorders>
              <w:top w:val="single" w:sz="6" w:space="0" w:color="000000"/>
              <w:left w:val="single" w:sz="6" w:space="0" w:color="000000"/>
              <w:bottom w:val="single" w:sz="6" w:space="0" w:color="000000"/>
              <w:right w:val="single" w:sz="6" w:space="0" w:color="000000"/>
            </w:tcBorders>
            <w:vAlign w:val="center"/>
          </w:tcPr>
          <w:p w:rsidR="00F0017C" w:rsidRPr="00E65422" w:rsidRDefault="00AC30D9" w:rsidP="00567184">
            <w:pPr>
              <w:spacing w:line="259" w:lineRule="auto"/>
              <w:ind w:leftChars="100" w:left="240" w:right="0" w:firstLineChars="100" w:firstLine="240"/>
              <w:rPr>
                <w:color w:val="auto"/>
              </w:rPr>
            </w:pPr>
            <w:r w:rsidRPr="00E65422">
              <w:rPr>
                <w:rFonts w:hint="eastAsia"/>
                <w:color w:val="auto"/>
              </w:rPr>
              <w:t>監理技術者補佐は、一級施工管理技士補又は一級施工管理技士等の国家資格者、学歴や実務経験により監理技術者の資格を有する者であること。なお、監理技術者補佐の建設業法</w:t>
            </w:r>
            <w:r w:rsidRPr="00E65422">
              <w:rPr>
                <w:color w:val="auto"/>
              </w:rPr>
              <w:t>27</w:t>
            </w:r>
            <w:r w:rsidR="00925B28">
              <w:rPr>
                <w:rFonts w:hint="eastAsia"/>
                <w:color w:val="auto"/>
              </w:rPr>
              <w:t>条の規定</w:t>
            </w:r>
            <w:r w:rsidRPr="00E65422">
              <w:rPr>
                <w:rFonts w:hint="eastAsia"/>
                <w:color w:val="auto"/>
              </w:rPr>
              <w:t>に基づく技術検定種目は、特例監理技術者に求める技術検定種目と同じであること。</w:t>
            </w:r>
          </w:p>
        </w:tc>
      </w:tr>
      <w:tr w:rsidR="00E65422" w:rsidRPr="00E65422" w:rsidTr="00AC30D9">
        <w:trPr>
          <w:trHeight w:val="1498"/>
        </w:trPr>
        <w:tc>
          <w:tcPr>
            <w:tcW w:w="907" w:type="dxa"/>
            <w:tcBorders>
              <w:top w:val="single" w:sz="6" w:space="0" w:color="000000"/>
              <w:left w:val="single" w:sz="6" w:space="0" w:color="000000"/>
              <w:bottom w:val="single" w:sz="6" w:space="0" w:color="000000"/>
              <w:right w:val="single" w:sz="6" w:space="0" w:color="000000"/>
            </w:tcBorders>
          </w:tcPr>
          <w:p w:rsidR="004D2FE6" w:rsidRPr="00E65422" w:rsidRDefault="004D2FE6">
            <w:pPr>
              <w:spacing w:line="259" w:lineRule="auto"/>
              <w:ind w:left="269" w:right="0" w:firstLine="0"/>
              <w:rPr>
                <w:color w:val="auto"/>
              </w:rPr>
            </w:pPr>
          </w:p>
          <w:p w:rsidR="00AC30D9" w:rsidRPr="00E65422" w:rsidRDefault="00AC30D9">
            <w:pPr>
              <w:spacing w:line="259" w:lineRule="auto"/>
              <w:ind w:left="269" w:right="0" w:firstLine="0"/>
              <w:rPr>
                <w:color w:val="auto"/>
              </w:rPr>
            </w:pPr>
          </w:p>
          <w:p w:rsidR="00F0017C" w:rsidRPr="00E65422" w:rsidRDefault="007347B6">
            <w:pPr>
              <w:spacing w:line="259" w:lineRule="auto"/>
              <w:ind w:left="269" w:right="0" w:firstLine="0"/>
              <w:rPr>
                <w:color w:val="auto"/>
              </w:rPr>
            </w:pPr>
            <w:r w:rsidRPr="00E65422">
              <w:rPr>
                <w:color w:val="auto"/>
              </w:rPr>
              <w:t>□</w:t>
            </w:r>
          </w:p>
        </w:tc>
        <w:tc>
          <w:tcPr>
            <w:tcW w:w="8033" w:type="dxa"/>
            <w:tcBorders>
              <w:top w:val="single" w:sz="6" w:space="0" w:color="000000"/>
              <w:left w:val="single" w:sz="6" w:space="0" w:color="000000"/>
              <w:bottom w:val="single" w:sz="6" w:space="0" w:color="000000"/>
              <w:right w:val="single" w:sz="6" w:space="0" w:color="000000"/>
            </w:tcBorders>
            <w:vAlign w:val="center"/>
          </w:tcPr>
          <w:p w:rsidR="00F0017C" w:rsidRPr="00E65422" w:rsidRDefault="00AC30D9" w:rsidP="001B4400">
            <w:pPr>
              <w:spacing w:line="259" w:lineRule="auto"/>
              <w:ind w:leftChars="104" w:left="250" w:right="0" w:firstLineChars="100" w:firstLine="240"/>
              <w:rPr>
                <w:color w:val="auto"/>
              </w:rPr>
            </w:pPr>
            <w:r w:rsidRPr="00E65422">
              <w:rPr>
                <w:rFonts w:hint="eastAsia"/>
                <w:color w:val="auto"/>
              </w:rPr>
              <w:t>監理技術者補佐は、入札参加者と直接的かつ恒常的な雇用関係にあること。なお、恒常的な雇用関係とは、配置時点の日以前に</w:t>
            </w:r>
            <w:r w:rsidR="001B4400" w:rsidRPr="00E65422">
              <w:rPr>
                <w:rFonts w:hint="eastAsia"/>
                <w:color w:val="auto"/>
              </w:rPr>
              <w:t>入札参加者</w:t>
            </w:r>
            <w:r w:rsidRPr="00E65422">
              <w:rPr>
                <w:rFonts w:hint="eastAsia"/>
                <w:color w:val="auto"/>
              </w:rPr>
              <w:t>と３か月以上の雇用関係があることをいう。</w:t>
            </w:r>
          </w:p>
        </w:tc>
      </w:tr>
      <w:tr w:rsidR="00E65422" w:rsidRPr="00E65422" w:rsidTr="00AC30D9">
        <w:trPr>
          <w:trHeight w:val="1183"/>
        </w:trPr>
        <w:tc>
          <w:tcPr>
            <w:tcW w:w="907" w:type="dxa"/>
            <w:tcBorders>
              <w:top w:val="single" w:sz="6" w:space="0" w:color="000000"/>
              <w:left w:val="single" w:sz="6" w:space="0" w:color="000000"/>
              <w:bottom w:val="single" w:sz="6" w:space="0" w:color="000000"/>
              <w:right w:val="single" w:sz="6" w:space="0" w:color="000000"/>
            </w:tcBorders>
          </w:tcPr>
          <w:p w:rsidR="00AC30D9" w:rsidRPr="00E65422" w:rsidRDefault="00AC30D9">
            <w:pPr>
              <w:spacing w:line="259" w:lineRule="auto"/>
              <w:ind w:left="269" w:right="0" w:firstLine="0"/>
              <w:rPr>
                <w:color w:val="auto"/>
              </w:rPr>
            </w:pPr>
          </w:p>
          <w:p w:rsidR="00AC30D9" w:rsidRPr="00E65422" w:rsidRDefault="00AC30D9">
            <w:pPr>
              <w:spacing w:line="259" w:lineRule="auto"/>
              <w:ind w:left="269" w:right="0" w:firstLine="0"/>
              <w:rPr>
                <w:color w:val="auto"/>
              </w:rPr>
            </w:pPr>
            <w:r w:rsidRPr="00E65422">
              <w:rPr>
                <w:color w:val="auto"/>
              </w:rPr>
              <w:t>□</w:t>
            </w:r>
          </w:p>
        </w:tc>
        <w:tc>
          <w:tcPr>
            <w:tcW w:w="8033" w:type="dxa"/>
            <w:tcBorders>
              <w:top w:val="single" w:sz="6" w:space="0" w:color="000000"/>
              <w:left w:val="single" w:sz="6" w:space="0" w:color="000000"/>
              <w:bottom w:val="single" w:sz="6" w:space="0" w:color="000000"/>
              <w:right w:val="single" w:sz="6" w:space="0" w:color="000000"/>
            </w:tcBorders>
            <w:vAlign w:val="center"/>
          </w:tcPr>
          <w:p w:rsidR="00AC30D9" w:rsidRPr="00E65422" w:rsidRDefault="00AC30D9" w:rsidP="00567184">
            <w:pPr>
              <w:spacing w:line="259" w:lineRule="auto"/>
              <w:ind w:leftChars="100" w:left="240" w:right="0" w:firstLineChars="100" w:firstLine="240"/>
              <w:rPr>
                <w:color w:val="auto"/>
              </w:rPr>
            </w:pPr>
            <w:r w:rsidRPr="00E65422">
              <w:rPr>
                <w:rFonts w:hint="eastAsia"/>
                <w:color w:val="auto"/>
              </w:rPr>
              <w:t>同一の特例監理技術者が配置できる工事の数は、本工事を含め同時に２件までとする</w:t>
            </w:r>
            <w:r w:rsidR="00925B28">
              <w:rPr>
                <w:rFonts w:hint="eastAsia"/>
                <w:color w:val="auto"/>
              </w:rPr>
              <w:t>こと</w:t>
            </w:r>
            <w:r w:rsidRPr="00E65422">
              <w:rPr>
                <w:rFonts w:hint="eastAsia"/>
                <w:color w:val="auto"/>
              </w:rPr>
              <w:t>。</w:t>
            </w:r>
          </w:p>
        </w:tc>
      </w:tr>
      <w:tr w:rsidR="00E65422" w:rsidRPr="00E65422" w:rsidTr="00AC30D9">
        <w:trPr>
          <w:trHeight w:val="1231"/>
        </w:trPr>
        <w:tc>
          <w:tcPr>
            <w:tcW w:w="907" w:type="dxa"/>
            <w:tcBorders>
              <w:top w:val="nil"/>
              <w:left w:val="single" w:sz="6" w:space="0" w:color="000000"/>
              <w:bottom w:val="single" w:sz="6" w:space="0" w:color="000000"/>
              <w:right w:val="single" w:sz="6" w:space="0" w:color="000000"/>
            </w:tcBorders>
          </w:tcPr>
          <w:p w:rsidR="00567184" w:rsidRPr="00E65422" w:rsidRDefault="00567184">
            <w:pPr>
              <w:spacing w:line="259" w:lineRule="auto"/>
              <w:ind w:left="269" w:right="0" w:firstLine="0"/>
              <w:rPr>
                <w:color w:val="auto"/>
              </w:rPr>
            </w:pPr>
          </w:p>
          <w:p w:rsidR="00F0017C" w:rsidRPr="00E65422" w:rsidRDefault="007347B6">
            <w:pPr>
              <w:spacing w:line="259" w:lineRule="auto"/>
              <w:ind w:left="269" w:right="0" w:firstLine="0"/>
              <w:rPr>
                <w:color w:val="auto"/>
              </w:rPr>
            </w:pPr>
            <w:r w:rsidRPr="00E65422">
              <w:rPr>
                <w:color w:val="auto"/>
              </w:rPr>
              <w:t>□</w:t>
            </w:r>
          </w:p>
        </w:tc>
        <w:tc>
          <w:tcPr>
            <w:tcW w:w="8033" w:type="dxa"/>
            <w:tcBorders>
              <w:top w:val="nil"/>
              <w:left w:val="single" w:sz="6" w:space="0" w:color="000000"/>
              <w:bottom w:val="single" w:sz="6" w:space="0" w:color="000000"/>
              <w:right w:val="single" w:sz="6" w:space="0" w:color="000000"/>
            </w:tcBorders>
          </w:tcPr>
          <w:p w:rsidR="00AC30D9" w:rsidRPr="00E65422" w:rsidRDefault="00AC30D9" w:rsidP="00AC30D9">
            <w:pPr>
              <w:spacing w:line="259" w:lineRule="auto"/>
              <w:ind w:leftChars="100" w:left="240" w:right="0" w:firstLineChars="100" w:firstLine="240"/>
              <w:rPr>
                <w:color w:val="auto"/>
              </w:rPr>
            </w:pPr>
          </w:p>
          <w:p w:rsidR="00567184" w:rsidRPr="00E65422" w:rsidRDefault="002C260F" w:rsidP="002C260F">
            <w:pPr>
              <w:spacing w:line="259" w:lineRule="auto"/>
              <w:ind w:leftChars="100" w:left="240" w:right="0" w:firstLineChars="100" w:firstLine="240"/>
              <w:rPr>
                <w:color w:val="auto"/>
              </w:rPr>
            </w:pPr>
            <w:r w:rsidRPr="00E65422">
              <w:rPr>
                <w:rFonts w:hint="eastAsia"/>
                <w:color w:val="auto"/>
              </w:rPr>
              <w:t>特例監理技術者が兼務できる工事は、入札公告１</w:t>
            </w:r>
            <w:r w:rsidRPr="00E65422">
              <w:rPr>
                <w:color w:val="auto"/>
              </w:rPr>
              <w:t>(3)</w:t>
            </w:r>
            <w:r w:rsidRPr="00E65422">
              <w:rPr>
                <w:rFonts w:hint="eastAsia"/>
                <w:color w:val="auto"/>
              </w:rPr>
              <w:t>の工事場所が所在する市区町村に隣接する市区町村を施工場所とする工事でなければならない</w:t>
            </w:r>
            <w:r w:rsidR="00925B28">
              <w:rPr>
                <w:rFonts w:hint="eastAsia"/>
                <w:color w:val="auto"/>
              </w:rPr>
              <w:t>こと</w:t>
            </w:r>
            <w:r w:rsidRPr="00E65422">
              <w:rPr>
                <w:rFonts w:hint="eastAsia"/>
                <w:color w:val="auto"/>
              </w:rPr>
              <w:t>。</w:t>
            </w:r>
          </w:p>
        </w:tc>
      </w:tr>
      <w:tr w:rsidR="00F0017C" w:rsidRPr="00E65422">
        <w:trPr>
          <w:trHeight w:val="875"/>
        </w:trPr>
        <w:tc>
          <w:tcPr>
            <w:tcW w:w="907" w:type="dxa"/>
            <w:tcBorders>
              <w:top w:val="single" w:sz="6" w:space="0" w:color="000000"/>
              <w:left w:val="single" w:sz="6" w:space="0" w:color="000000"/>
              <w:bottom w:val="single" w:sz="6" w:space="0" w:color="000000"/>
              <w:right w:val="single" w:sz="6" w:space="0" w:color="000000"/>
            </w:tcBorders>
            <w:vAlign w:val="center"/>
          </w:tcPr>
          <w:p w:rsidR="00F0017C" w:rsidRPr="00E65422" w:rsidRDefault="007347B6">
            <w:pPr>
              <w:spacing w:line="259" w:lineRule="auto"/>
              <w:ind w:left="269" w:right="0" w:firstLine="0"/>
              <w:rPr>
                <w:color w:val="auto"/>
              </w:rPr>
            </w:pPr>
            <w:r w:rsidRPr="00E65422">
              <w:rPr>
                <w:color w:val="auto"/>
              </w:rPr>
              <w:t>□</w:t>
            </w:r>
          </w:p>
        </w:tc>
        <w:tc>
          <w:tcPr>
            <w:tcW w:w="8033" w:type="dxa"/>
            <w:tcBorders>
              <w:top w:val="single" w:sz="6" w:space="0" w:color="000000"/>
              <w:left w:val="single" w:sz="6" w:space="0" w:color="000000"/>
              <w:bottom w:val="single" w:sz="6" w:space="0" w:color="000000"/>
              <w:right w:val="single" w:sz="6" w:space="0" w:color="000000"/>
            </w:tcBorders>
            <w:vAlign w:val="center"/>
          </w:tcPr>
          <w:p w:rsidR="00F0017C" w:rsidRPr="00E65422" w:rsidRDefault="007347B6" w:rsidP="001160D5">
            <w:pPr>
              <w:spacing w:line="259" w:lineRule="auto"/>
              <w:ind w:right="0" w:firstLineChars="200" w:firstLine="480"/>
              <w:rPr>
                <w:color w:val="auto"/>
              </w:rPr>
            </w:pPr>
            <w:r w:rsidRPr="00E65422">
              <w:rPr>
                <w:color w:val="auto"/>
              </w:rPr>
              <w:t>上記項目を全て満たしている。</w:t>
            </w:r>
          </w:p>
        </w:tc>
      </w:tr>
    </w:tbl>
    <w:p w:rsidR="00AC30D9" w:rsidRPr="00E65422" w:rsidRDefault="00AC30D9">
      <w:pPr>
        <w:spacing w:after="181" w:line="259" w:lineRule="auto"/>
        <w:ind w:left="230" w:right="0"/>
        <w:rPr>
          <w:color w:val="auto"/>
          <w:sz w:val="21"/>
        </w:rPr>
      </w:pPr>
    </w:p>
    <w:p w:rsidR="00F0017C" w:rsidRPr="00E65422" w:rsidRDefault="007347B6">
      <w:pPr>
        <w:spacing w:after="181" w:line="259" w:lineRule="auto"/>
        <w:ind w:left="230" w:right="0"/>
        <w:rPr>
          <w:color w:val="auto"/>
        </w:rPr>
      </w:pPr>
      <w:r w:rsidRPr="00E65422">
        <w:rPr>
          <w:color w:val="auto"/>
          <w:sz w:val="21"/>
        </w:rPr>
        <w:t>（注）該当する□を■に置き換えること。</w:t>
      </w:r>
    </w:p>
    <w:p w:rsidR="004D2FE6" w:rsidRPr="00E65422" w:rsidRDefault="004D2FE6">
      <w:pPr>
        <w:spacing w:after="181" w:line="259" w:lineRule="auto"/>
        <w:ind w:left="230" w:right="0"/>
        <w:rPr>
          <w:color w:val="auto"/>
          <w:sz w:val="21"/>
        </w:rPr>
      </w:pPr>
    </w:p>
    <w:p w:rsidR="008F5B0E" w:rsidRPr="00E65422" w:rsidRDefault="008F5B0E">
      <w:pPr>
        <w:spacing w:after="181" w:line="259" w:lineRule="auto"/>
        <w:ind w:left="230" w:right="0"/>
        <w:rPr>
          <w:color w:val="auto"/>
          <w:sz w:val="21"/>
        </w:rPr>
      </w:pPr>
    </w:p>
    <w:p w:rsidR="008F5B0E" w:rsidRPr="00E65422" w:rsidRDefault="008F5B0E">
      <w:pPr>
        <w:spacing w:after="181" w:line="259" w:lineRule="auto"/>
        <w:ind w:left="230" w:right="0"/>
        <w:rPr>
          <w:color w:val="auto"/>
          <w:sz w:val="21"/>
        </w:rPr>
      </w:pPr>
    </w:p>
    <w:p w:rsidR="004D2FE6" w:rsidRPr="00E65422" w:rsidRDefault="004D2FE6">
      <w:pPr>
        <w:spacing w:after="181" w:line="259" w:lineRule="auto"/>
        <w:ind w:left="230" w:right="0"/>
        <w:rPr>
          <w:color w:val="auto"/>
          <w:sz w:val="21"/>
        </w:rPr>
      </w:pPr>
    </w:p>
    <w:p w:rsidR="004D2FE6" w:rsidRPr="00E65422" w:rsidRDefault="004D2FE6">
      <w:pPr>
        <w:spacing w:after="181" w:line="259" w:lineRule="auto"/>
        <w:ind w:left="230" w:right="0"/>
        <w:rPr>
          <w:color w:val="auto"/>
          <w:sz w:val="21"/>
        </w:rPr>
      </w:pPr>
    </w:p>
    <w:p w:rsidR="004D2FE6" w:rsidRPr="00E65422" w:rsidRDefault="004D2FE6">
      <w:pPr>
        <w:spacing w:after="181" w:line="259" w:lineRule="auto"/>
        <w:ind w:left="230" w:right="0"/>
        <w:rPr>
          <w:color w:val="auto"/>
          <w:sz w:val="21"/>
        </w:rPr>
      </w:pPr>
    </w:p>
    <w:p w:rsidR="00F0017C" w:rsidRPr="00E65422" w:rsidRDefault="00AC30D9" w:rsidP="00C27D9D">
      <w:pPr>
        <w:jc w:val="center"/>
        <w:rPr>
          <w:color w:val="auto"/>
        </w:rPr>
      </w:pPr>
      <w:r w:rsidRPr="00E65422">
        <w:rPr>
          <w:color w:val="auto"/>
        </w:rPr>
        <w:lastRenderedPageBreak/>
        <w:t>特例監理技術者の配置を</w:t>
      </w:r>
      <w:r w:rsidRPr="00E65422">
        <w:rPr>
          <w:rFonts w:hint="eastAsia"/>
          <w:color w:val="auto"/>
        </w:rPr>
        <w:t>行う場合の提出資料</w:t>
      </w:r>
    </w:p>
    <w:p w:rsidR="00BD2CAB" w:rsidRPr="00E65422" w:rsidRDefault="00BD2CAB" w:rsidP="00C27D9D">
      <w:pPr>
        <w:jc w:val="center"/>
        <w:rPr>
          <w:color w:val="auto"/>
        </w:rPr>
      </w:pPr>
    </w:p>
    <w:p w:rsidR="00F0017C" w:rsidRPr="00E65422" w:rsidRDefault="007347B6" w:rsidP="00AC30D9">
      <w:pPr>
        <w:spacing w:after="143" w:line="259" w:lineRule="auto"/>
        <w:ind w:left="381" w:right="0" w:firstLineChars="100" w:firstLine="240"/>
        <w:rPr>
          <w:color w:val="auto"/>
        </w:rPr>
      </w:pPr>
      <w:r w:rsidRPr="00E65422">
        <w:rPr>
          <w:color w:val="auto"/>
        </w:rPr>
        <w:t>特例監理技術者の配置を</w:t>
      </w:r>
      <w:r w:rsidR="00AC30D9" w:rsidRPr="00E65422">
        <w:rPr>
          <w:rFonts w:hint="eastAsia"/>
          <w:color w:val="auto"/>
        </w:rPr>
        <w:t>行う場合は、以下の資料（下線部）を</w:t>
      </w:r>
      <w:r w:rsidR="00AC30D9" w:rsidRPr="00E65422">
        <w:rPr>
          <w:rFonts w:hint="eastAsia"/>
          <w:b/>
          <w:color w:val="auto"/>
        </w:rPr>
        <w:t>落札決定後に</w:t>
      </w:r>
      <w:r w:rsidR="00AC30D9" w:rsidRPr="00E65422">
        <w:rPr>
          <w:rFonts w:hint="eastAsia"/>
          <w:color w:val="auto"/>
        </w:rPr>
        <w:t>提出すること</w:t>
      </w:r>
      <w:r w:rsidRPr="00E65422">
        <w:rPr>
          <w:color w:val="auto"/>
        </w:rPr>
        <w:t>。</w:t>
      </w:r>
    </w:p>
    <w:p w:rsidR="00F0017C" w:rsidRPr="00E65422" w:rsidRDefault="0035405C" w:rsidP="0035405C">
      <w:pPr>
        <w:ind w:left="240" w:right="0" w:hangingChars="100" w:hanging="240"/>
        <w:rPr>
          <w:color w:val="auto"/>
        </w:rPr>
      </w:pPr>
      <w:r w:rsidRPr="00E65422">
        <w:rPr>
          <w:rFonts w:hint="eastAsia"/>
          <w:color w:val="auto"/>
        </w:rPr>
        <w:t xml:space="preserve">１　</w:t>
      </w:r>
      <w:r w:rsidR="007347B6" w:rsidRPr="00E65422">
        <w:rPr>
          <w:color w:val="auto"/>
        </w:rPr>
        <w:t>建設業法第２６条第３項</w:t>
      </w:r>
      <w:r w:rsidR="002C6F82" w:rsidRPr="00E65422">
        <w:rPr>
          <w:rFonts w:hint="eastAsia"/>
          <w:color w:val="auto"/>
        </w:rPr>
        <w:t>第２号</w:t>
      </w:r>
      <w:r w:rsidR="007347B6" w:rsidRPr="00E65422">
        <w:rPr>
          <w:color w:val="auto"/>
        </w:rPr>
        <w:t>による監理技術者を補佐する者（以下「監理技術者補佐」という。）を専任で配置すること。</w:t>
      </w:r>
    </w:p>
    <w:p w:rsidR="00F0017C" w:rsidRPr="00E65422" w:rsidRDefault="007347B6">
      <w:pPr>
        <w:spacing w:after="0" w:line="385" w:lineRule="auto"/>
        <w:ind w:left="626" w:right="0" w:hanging="259"/>
        <w:rPr>
          <w:color w:val="auto"/>
        </w:rPr>
      </w:pPr>
      <w:r w:rsidRPr="00E65422">
        <w:rPr>
          <w:color w:val="auto"/>
          <w:u w:val="single" w:color="000000"/>
        </w:rPr>
        <w:t>・監理技術者補佐の資格を有する書類（一級施工管理技士等の国家資格者などの合格証等）</w:t>
      </w:r>
    </w:p>
    <w:p w:rsidR="00F0017C" w:rsidRPr="00E65422" w:rsidRDefault="0035405C" w:rsidP="0035405C">
      <w:pPr>
        <w:ind w:left="240" w:right="0" w:hangingChars="100" w:hanging="240"/>
        <w:rPr>
          <w:color w:val="auto"/>
        </w:rPr>
      </w:pPr>
      <w:r w:rsidRPr="00E65422">
        <w:rPr>
          <w:rFonts w:hint="eastAsia"/>
          <w:color w:val="auto"/>
        </w:rPr>
        <w:t xml:space="preserve">２　</w:t>
      </w:r>
      <w:r w:rsidRPr="00E65422">
        <w:rPr>
          <w:color w:val="auto"/>
        </w:rPr>
        <w:t>監理技術者補佐は</w:t>
      </w:r>
      <w:r w:rsidRPr="00E65422">
        <w:rPr>
          <w:rFonts w:hint="eastAsia"/>
          <w:color w:val="auto"/>
        </w:rPr>
        <w:t>、</w:t>
      </w:r>
      <w:r w:rsidR="007347B6" w:rsidRPr="00E65422">
        <w:rPr>
          <w:color w:val="auto"/>
        </w:rPr>
        <w:t>一級施工管理技士補又は一級施工管理技士等の国家資格者</w:t>
      </w:r>
      <w:r w:rsidRPr="00E65422">
        <w:rPr>
          <w:rFonts w:hint="eastAsia"/>
          <w:color w:val="auto"/>
        </w:rPr>
        <w:t>、</w:t>
      </w:r>
      <w:r w:rsidRPr="00E65422">
        <w:rPr>
          <w:color w:val="auto"/>
        </w:rPr>
        <w:t>学歴や実務経験により監理技術者の資格を有する者であること。なお</w:t>
      </w:r>
      <w:r w:rsidRPr="00E65422">
        <w:rPr>
          <w:rFonts w:hint="eastAsia"/>
          <w:color w:val="auto"/>
        </w:rPr>
        <w:t>、</w:t>
      </w:r>
      <w:r w:rsidR="007347B6" w:rsidRPr="00E65422">
        <w:rPr>
          <w:color w:val="auto"/>
        </w:rPr>
        <w:t>監理技術者補佐の建設業法第２７条の規定に基づく技術検定</w:t>
      </w:r>
      <w:r w:rsidRPr="00E65422">
        <w:rPr>
          <w:color w:val="auto"/>
        </w:rPr>
        <w:t>種目は</w:t>
      </w:r>
      <w:r w:rsidRPr="00E65422">
        <w:rPr>
          <w:rFonts w:hint="eastAsia"/>
          <w:color w:val="auto"/>
        </w:rPr>
        <w:t>、</w:t>
      </w:r>
      <w:r w:rsidR="007347B6" w:rsidRPr="00E65422">
        <w:rPr>
          <w:color w:val="auto"/>
        </w:rPr>
        <w:t>特例監理技術者に求める技術検定種目と同じであること。</w:t>
      </w:r>
    </w:p>
    <w:p w:rsidR="00F0017C" w:rsidRPr="00E65422" w:rsidRDefault="007347B6">
      <w:pPr>
        <w:spacing w:after="143" w:line="259" w:lineRule="auto"/>
        <w:ind w:left="377" w:right="0"/>
        <w:rPr>
          <w:color w:val="auto"/>
        </w:rPr>
      </w:pPr>
      <w:r w:rsidRPr="00E65422">
        <w:rPr>
          <w:color w:val="auto"/>
          <w:u w:val="single" w:color="000000"/>
        </w:rPr>
        <w:t>・</w:t>
      </w:r>
      <w:r w:rsidR="0035405C" w:rsidRPr="00E65422">
        <w:rPr>
          <w:rFonts w:hint="eastAsia"/>
          <w:color w:val="auto"/>
          <w:u w:val="single" w:color="000000"/>
        </w:rPr>
        <w:t>１</w:t>
      </w:r>
      <w:r w:rsidRPr="00E65422">
        <w:rPr>
          <w:color w:val="auto"/>
          <w:u w:val="single" w:color="000000"/>
        </w:rPr>
        <w:t>の提出書類と同じ</w:t>
      </w:r>
    </w:p>
    <w:p w:rsidR="00F0017C" w:rsidRPr="00E65422" w:rsidRDefault="0035405C" w:rsidP="0035405C">
      <w:pPr>
        <w:spacing w:after="167" w:line="259" w:lineRule="auto"/>
        <w:ind w:left="240" w:right="0" w:hangingChars="100" w:hanging="240"/>
        <w:rPr>
          <w:color w:val="auto"/>
        </w:rPr>
      </w:pPr>
      <w:r w:rsidRPr="00E65422">
        <w:rPr>
          <w:rFonts w:hint="eastAsia"/>
          <w:color w:val="auto"/>
        </w:rPr>
        <w:t xml:space="preserve">３　</w:t>
      </w:r>
      <w:r w:rsidR="001160D5" w:rsidRPr="00E65422">
        <w:rPr>
          <w:color w:val="auto"/>
        </w:rPr>
        <w:t>監理技術者補佐は</w:t>
      </w:r>
      <w:r w:rsidR="001160D5" w:rsidRPr="00E65422">
        <w:rPr>
          <w:rFonts w:hint="eastAsia"/>
          <w:color w:val="auto"/>
        </w:rPr>
        <w:t>、</w:t>
      </w:r>
      <w:r w:rsidR="007347B6" w:rsidRPr="00E65422">
        <w:rPr>
          <w:color w:val="auto"/>
        </w:rPr>
        <w:t>入札参加者と直接的かつ恒常的な雇用関係にあること。</w:t>
      </w:r>
      <w:r w:rsidRPr="00E65422">
        <w:rPr>
          <w:rFonts w:hint="eastAsia"/>
          <w:color w:val="auto"/>
        </w:rPr>
        <w:t>なお、恒常的な雇用関係とは、配置時点の日以前に</w:t>
      </w:r>
      <w:r w:rsidR="001B4400" w:rsidRPr="00E65422">
        <w:rPr>
          <w:color w:val="auto"/>
        </w:rPr>
        <w:t>入札参加者</w:t>
      </w:r>
      <w:r w:rsidRPr="00E65422">
        <w:rPr>
          <w:rFonts w:hint="eastAsia"/>
          <w:color w:val="auto"/>
        </w:rPr>
        <w:t>と３か月以上の雇用関係があることをいう。</w:t>
      </w:r>
    </w:p>
    <w:p w:rsidR="00F0017C" w:rsidRPr="00E65422" w:rsidRDefault="007347B6">
      <w:pPr>
        <w:spacing w:after="143" w:line="259" w:lineRule="auto"/>
        <w:ind w:left="377" w:right="0"/>
        <w:rPr>
          <w:color w:val="auto"/>
        </w:rPr>
      </w:pPr>
      <w:r w:rsidRPr="00E65422">
        <w:rPr>
          <w:color w:val="auto"/>
          <w:u w:val="single" w:color="000000"/>
        </w:rPr>
        <w:t>・監理技術者補佐の直接的かつ恒常的な雇用関係を証明する書類</w:t>
      </w:r>
    </w:p>
    <w:p w:rsidR="00F0017C" w:rsidRPr="00E65422" w:rsidRDefault="0035405C" w:rsidP="0035405C">
      <w:pPr>
        <w:ind w:left="240" w:right="0" w:hangingChars="100" w:hanging="240"/>
        <w:rPr>
          <w:color w:val="auto"/>
        </w:rPr>
      </w:pPr>
      <w:r w:rsidRPr="00E65422">
        <w:rPr>
          <w:rFonts w:hint="eastAsia"/>
          <w:color w:val="auto"/>
        </w:rPr>
        <w:t xml:space="preserve">４　</w:t>
      </w:r>
      <w:r w:rsidR="007347B6" w:rsidRPr="00E65422">
        <w:rPr>
          <w:color w:val="auto"/>
        </w:rPr>
        <w:t>同一の特例技術管理者が配置できる工事の数は</w:t>
      </w:r>
      <w:r w:rsidRPr="00E65422">
        <w:rPr>
          <w:rFonts w:hint="eastAsia"/>
          <w:color w:val="auto"/>
        </w:rPr>
        <w:t>、</w:t>
      </w:r>
      <w:r w:rsidR="007347B6" w:rsidRPr="00E65422">
        <w:rPr>
          <w:color w:val="auto"/>
        </w:rPr>
        <w:t>本工事を含め同時に２件までとする。</w:t>
      </w:r>
    </w:p>
    <w:p w:rsidR="00F0017C" w:rsidRPr="00E65422" w:rsidRDefault="007347B6">
      <w:pPr>
        <w:spacing w:after="143" w:line="259" w:lineRule="auto"/>
        <w:ind w:left="377" w:right="0"/>
        <w:rPr>
          <w:color w:val="auto"/>
        </w:rPr>
      </w:pPr>
      <w:r w:rsidRPr="00E65422">
        <w:rPr>
          <w:color w:val="auto"/>
          <w:u w:val="single" w:color="000000"/>
        </w:rPr>
        <w:t>・特例監理技術者が兼務する工事のＣＯＲＩＮＳの写し等</w:t>
      </w:r>
    </w:p>
    <w:p w:rsidR="00F0017C" w:rsidRPr="00E65422" w:rsidRDefault="0035405C" w:rsidP="0035405C">
      <w:pPr>
        <w:ind w:left="240" w:right="0" w:hangingChars="100" w:hanging="240"/>
        <w:rPr>
          <w:color w:val="auto"/>
        </w:rPr>
      </w:pPr>
      <w:r w:rsidRPr="00E65422">
        <w:rPr>
          <w:rFonts w:hint="eastAsia"/>
          <w:color w:val="auto"/>
        </w:rPr>
        <w:t xml:space="preserve">５　</w:t>
      </w:r>
      <w:r w:rsidR="002C260F" w:rsidRPr="00E65422">
        <w:rPr>
          <w:rFonts w:hint="eastAsia"/>
          <w:color w:val="auto"/>
        </w:rPr>
        <w:t>特例監理技術者が兼務できる工事は、入札公告１</w:t>
      </w:r>
      <w:r w:rsidR="002C260F" w:rsidRPr="00E65422">
        <w:rPr>
          <w:color w:val="auto"/>
        </w:rPr>
        <w:t>(3)</w:t>
      </w:r>
      <w:r w:rsidR="002C260F" w:rsidRPr="00E65422">
        <w:rPr>
          <w:rFonts w:hint="eastAsia"/>
          <w:color w:val="auto"/>
        </w:rPr>
        <w:t>の工事場所が</w:t>
      </w:r>
      <w:r w:rsidR="009D0482">
        <w:rPr>
          <w:rFonts w:hint="eastAsia"/>
          <w:color w:val="auto"/>
        </w:rPr>
        <w:t>位置</w:t>
      </w:r>
      <w:bookmarkStart w:id="0" w:name="_GoBack"/>
      <w:bookmarkEnd w:id="0"/>
      <w:r w:rsidR="002C260F" w:rsidRPr="00E65422">
        <w:rPr>
          <w:rFonts w:hint="eastAsia"/>
          <w:color w:val="auto"/>
        </w:rPr>
        <w:t>する市区町村に隣接する市区町村を施工場所とする工事でなければならない。</w:t>
      </w:r>
    </w:p>
    <w:p w:rsidR="00F0017C" w:rsidRPr="00E65422" w:rsidRDefault="007347B6">
      <w:pPr>
        <w:spacing w:after="143" w:line="259" w:lineRule="auto"/>
        <w:ind w:left="377" w:right="0"/>
        <w:rPr>
          <w:color w:val="auto"/>
        </w:rPr>
      </w:pPr>
      <w:r w:rsidRPr="00E65422">
        <w:rPr>
          <w:color w:val="auto"/>
          <w:u w:val="single" w:color="000000"/>
        </w:rPr>
        <w:t>・</w:t>
      </w:r>
      <w:r w:rsidR="0035405C" w:rsidRPr="00E65422">
        <w:rPr>
          <w:rFonts w:hint="eastAsia"/>
          <w:color w:val="auto"/>
          <w:u w:val="single" w:color="000000"/>
        </w:rPr>
        <w:t>４</w:t>
      </w:r>
      <w:r w:rsidRPr="00E65422">
        <w:rPr>
          <w:color w:val="auto"/>
          <w:u w:val="single" w:color="000000"/>
        </w:rPr>
        <w:t>の提出書類と同じ</w:t>
      </w:r>
    </w:p>
    <w:p w:rsidR="00F0017C" w:rsidRPr="00E65422" w:rsidRDefault="0035405C" w:rsidP="0035405C">
      <w:pPr>
        <w:ind w:left="240" w:right="0" w:hangingChars="100" w:hanging="240"/>
        <w:rPr>
          <w:color w:val="auto"/>
        </w:rPr>
      </w:pPr>
      <w:r w:rsidRPr="00E65422">
        <w:rPr>
          <w:rFonts w:hint="eastAsia"/>
          <w:color w:val="auto"/>
        </w:rPr>
        <w:t xml:space="preserve">６　</w:t>
      </w:r>
      <w:r w:rsidRPr="00E65422">
        <w:rPr>
          <w:color w:val="auto"/>
        </w:rPr>
        <w:t>特例監理技術者は</w:t>
      </w:r>
      <w:r w:rsidRPr="00E65422">
        <w:rPr>
          <w:rFonts w:hint="eastAsia"/>
          <w:color w:val="auto"/>
        </w:rPr>
        <w:t>、</w:t>
      </w:r>
      <w:r w:rsidRPr="00E65422">
        <w:rPr>
          <w:color w:val="auto"/>
        </w:rPr>
        <w:t>施工における主要な会議への参加</w:t>
      </w:r>
      <w:r w:rsidRPr="00E65422">
        <w:rPr>
          <w:rFonts w:hint="eastAsia"/>
          <w:color w:val="auto"/>
        </w:rPr>
        <w:t>、</w:t>
      </w:r>
      <w:r w:rsidR="007347B6" w:rsidRPr="00E65422">
        <w:rPr>
          <w:color w:val="auto"/>
        </w:rPr>
        <w:t>現場の巡回及び主要な工程の立会等の職務を適正に遂行すること。</w:t>
      </w:r>
    </w:p>
    <w:p w:rsidR="00F0017C" w:rsidRPr="00E65422" w:rsidRDefault="0035405C" w:rsidP="0035405C">
      <w:pPr>
        <w:ind w:right="0"/>
        <w:rPr>
          <w:color w:val="auto"/>
        </w:rPr>
      </w:pPr>
      <w:r w:rsidRPr="00E65422">
        <w:rPr>
          <w:rFonts w:hint="eastAsia"/>
          <w:color w:val="auto"/>
        </w:rPr>
        <w:t xml:space="preserve">７　</w:t>
      </w:r>
      <w:r w:rsidR="007347B6" w:rsidRPr="00E65422">
        <w:rPr>
          <w:color w:val="auto"/>
        </w:rPr>
        <w:t>特例監理技術者と監理技術者補佐との間で常に連絡が取れる体制であること。</w:t>
      </w:r>
    </w:p>
    <w:p w:rsidR="00F0017C" w:rsidRPr="00E65422" w:rsidRDefault="0035405C" w:rsidP="0035405C">
      <w:pPr>
        <w:spacing w:after="167" w:line="259" w:lineRule="auto"/>
        <w:ind w:right="0"/>
        <w:rPr>
          <w:color w:val="auto"/>
        </w:rPr>
      </w:pPr>
      <w:r w:rsidRPr="00E65422">
        <w:rPr>
          <w:rFonts w:hint="eastAsia"/>
          <w:color w:val="auto"/>
        </w:rPr>
        <w:t xml:space="preserve">８　</w:t>
      </w:r>
      <w:r w:rsidRPr="00E65422">
        <w:rPr>
          <w:color w:val="auto"/>
        </w:rPr>
        <w:t>監理技術者補佐が担う業務について</w:t>
      </w:r>
      <w:r w:rsidRPr="00E65422">
        <w:rPr>
          <w:rFonts w:hint="eastAsia"/>
          <w:color w:val="auto"/>
        </w:rPr>
        <w:t>、</w:t>
      </w:r>
      <w:r w:rsidR="007347B6" w:rsidRPr="00E65422">
        <w:rPr>
          <w:color w:val="auto"/>
        </w:rPr>
        <w:t>明らかにすること。</w:t>
      </w:r>
    </w:p>
    <w:p w:rsidR="00F0017C" w:rsidRPr="00E65422" w:rsidRDefault="007347B6">
      <w:pPr>
        <w:spacing w:after="143" w:line="259" w:lineRule="auto"/>
        <w:ind w:left="377" w:right="0"/>
        <w:rPr>
          <w:color w:val="auto"/>
          <w:u w:val="single" w:color="000000"/>
        </w:rPr>
      </w:pPr>
      <w:r w:rsidRPr="00E65422">
        <w:rPr>
          <w:color w:val="auto"/>
          <w:u w:val="single" w:color="000000"/>
        </w:rPr>
        <w:t>・</w:t>
      </w:r>
      <w:r w:rsidR="0035405C" w:rsidRPr="00E65422">
        <w:rPr>
          <w:rFonts w:hint="eastAsia"/>
          <w:color w:val="auto"/>
          <w:u w:val="single" w:color="000000"/>
        </w:rPr>
        <w:t>６</w:t>
      </w:r>
      <w:r w:rsidRPr="00E65422">
        <w:rPr>
          <w:color w:val="auto"/>
          <w:u w:val="single" w:color="000000"/>
        </w:rPr>
        <w:t>から</w:t>
      </w:r>
      <w:r w:rsidR="0035405C" w:rsidRPr="00E65422">
        <w:rPr>
          <w:rFonts w:hint="eastAsia"/>
          <w:color w:val="auto"/>
          <w:u w:val="single" w:color="000000"/>
        </w:rPr>
        <w:t>８</w:t>
      </w:r>
      <w:r w:rsidR="0035405C" w:rsidRPr="00E65422">
        <w:rPr>
          <w:color w:val="auto"/>
          <w:u w:val="single" w:color="000000"/>
        </w:rPr>
        <w:t>までの業務分担</w:t>
      </w:r>
      <w:r w:rsidR="0035405C" w:rsidRPr="00E65422">
        <w:rPr>
          <w:rFonts w:hint="eastAsia"/>
          <w:color w:val="auto"/>
          <w:u w:val="single" w:color="000000"/>
        </w:rPr>
        <w:t>、</w:t>
      </w:r>
      <w:r w:rsidRPr="00E65422">
        <w:rPr>
          <w:color w:val="auto"/>
          <w:u w:val="single" w:color="000000"/>
        </w:rPr>
        <w:t>連絡体制等を記載した書類</w:t>
      </w:r>
    </w:p>
    <w:p w:rsidR="007E618B" w:rsidRPr="00E65422" w:rsidRDefault="007E618B">
      <w:pPr>
        <w:spacing w:after="143" w:line="259" w:lineRule="auto"/>
        <w:ind w:left="377" w:right="0"/>
        <w:rPr>
          <w:color w:val="auto"/>
          <w:u w:val="single" w:color="000000"/>
        </w:rPr>
      </w:pPr>
    </w:p>
    <w:p w:rsidR="007E618B" w:rsidRPr="00E65422" w:rsidRDefault="007E618B" w:rsidP="007E618B">
      <w:pPr>
        <w:spacing w:after="181" w:line="259" w:lineRule="auto"/>
        <w:ind w:left="230" w:right="0"/>
        <w:rPr>
          <w:color w:val="auto"/>
        </w:rPr>
      </w:pPr>
      <w:r w:rsidRPr="00E65422">
        <w:rPr>
          <w:color w:val="auto"/>
          <w:sz w:val="21"/>
        </w:rPr>
        <w:t>（注）</w:t>
      </w:r>
      <w:r w:rsidRPr="00E65422">
        <w:rPr>
          <w:rFonts w:hint="eastAsia"/>
          <w:color w:val="auto"/>
          <w:sz w:val="21"/>
        </w:rPr>
        <w:t>提出場所及び提出方法については、入札説明書21(2)を確認すること</w:t>
      </w:r>
      <w:r w:rsidRPr="00E65422">
        <w:rPr>
          <w:color w:val="auto"/>
          <w:sz w:val="21"/>
        </w:rPr>
        <w:t>。</w:t>
      </w:r>
    </w:p>
    <w:p w:rsidR="007E618B" w:rsidRPr="00E65422" w:rsidRDefault="007E618B">
      <w:pPr>
        <w:spacing w:after="143" w:line="259" w:lineRule="auto"/>
        <w:ind w:left="377" w:right="0"/>
        <w:rPr>
          <w:color w:val="auto"/>
        </w:rPr>
      </w:pPr>
    </w:p>
    <w:sectPr w:rsidR="007E618B" w:rsidRPr="00E65422">
      <w:headerReference w:type="even" r:id="rId8"/>
      <w:headerReference w:type="default" r:id="rId9"/>
      <w:footerReference w:type="even" r:id="rId10"/>
      <w:footerReference w:type="default" r:id="rId11"/>
      <w:headerReference w:type="first" r:id="rId12"/>
      <w:footerReference w:type="first" r:id="rId13"/>
      <w:pgSz w:w="11906" w:h="16838"/>
      <w:pgMar w:top="1138" w:right="1014" w:bottom="1343" w:left="1579"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7F03" w:rsidRDefault="007347B6">
      <w:pPr>
        <w:spacing w:after="0" w:line="240" w:lineRule="auto"/>
      </w:pPr>
      <w:r>
        <w:separator/>
      </w:r>
    </w:p>
  </w:endnote>
  <w:endnote w:type="continuationSeparator" w:id="0">
    <w:p w:rsidR="00B07F03" w:rsidRDefault="007347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17C" w:rsidRDefault="007347B6">
    <w:pPr>
      <w:spacing w:after="0" w:line="259" w:lineRule="auto"/>
      <w:ind w:left="2" w:right="0" w:firstLine="0"/>
      <w:jc w:val="center"/>
    </w:pPr>
    <w:r>
      <w:t xml:space="preserve">- </w:t>
    </w:r>
    <w:r>
      <w:fldChar w:fldCharType="begin"/>
    </w:r>
    <w:r>
      <w:instrText xml:space="preserve"> PAGE   \* MERGEFORMAT </w:instrText>
    </w:r>
    <w:r>
      <w:fldChar w:fldCharType="separate"/>
    </w:r>
    <w:r>
      <w:t>2</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17C" w:rsidRDefault="00F0017C">
    <w:pPr>
      <w:spacing w:after="0" w:line="259" w:lineRule="auto"/>
      <w:ind w:left="2" w:right="0" w:firstLine="0"/>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17C" w:rsidRDefault="00F0017C">
    <w:pPr>
      <w:spacing w:after="160" w:line="259" w:lineRule="auto"/>
      <w:ind w:left="0" w:righ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7F03" w:rsidRDefault="007347B6">
      <w:pPr>
        <w:spacing w:after="0" w:line="240" w:lineRule="auto"/>
      </w:pPr>
      <w:r>
        <w:separator/>
      </w:r>
    </w:p>
  </w:footnote>
  <w:footnote w:type="continuationSeparator" w:id="0">
    <w:p w:rsidR="00B07F03" w:rsidRDefault="007347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2FF" w:rsidRDefault="00F212F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7B6" w:rsidRDefault="001160D5" w:rsidP="00F212FF">
    <w:pPr>
      <w:pStyle w:val="a3"/>
      <w:ind w:hangingChars="4"/>
    </w:pPr>
    <w:r>
      <w:rPr>
        <w:rFonts w:hint="eastAsia"/>
      </w:rPr>
      <w:t>第13号様式</w:t>
    </w:r>
    <w:r w:rsidR="007347B6">
      <w:rPr>
        <w:rFonts w:hint="eastAsia"/>
      </w:rPr>
      <w:t>別紙</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7B6" w:rsidRDefault="007347B6" w:rsidP="00F212FF">
    <w:pPr>
      <w:pStyle w:val="a3"/>
      <w:ind w:hangingChars="4"/>
    </w:pPr>
    <w:r>
      <w:rPr>
        <w:rFonts w:hint="eastAsia"/>
      </w:rPr>
      <w:t>第13号様式</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3C6FD7"/>
    <w:multiLevelType w:val="hybridMultilevel"/>
    <w:tmpl w:val="B016C3B4"/>
    <w:lvl w:ilvl="0" w:tplc="8A28C254">
      <w:start w:val="1"/>
      <w:numFmt w:val="decimal"/>
      <w:lvlText w:val="(%1)"/>
      <w:lvlJc w:val="left"/>
      <w:pPr>
        <w:ind w:left="6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9C3C33A0">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D7929D08">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CF08F842">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9A821CFE">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987C6936">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C23E7AD2">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35EAB26C">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81CCE260">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F5557C0"/>
    <w:multiLevelType w:val="hybridMultilevel"/>
    <w:tmpl w:val="5880BF86"/>
    <w:lvl w:ilvl="0" w:tplc="3376BCBE">
      <w:start w:val="1"/>
      <w:numFmt w:val="aiueo"/>
      <w:lvlText w:val="(%1)"/>
      <w:lvlJc w:val="left"/>
      <w:pPr>
        <w:ind w:left="145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41500746">
      <w:start w:val="1"/>
      <w:numFmt w:val="lowerLetter"/>
      <w:lvlText w:val="%2"/>
      <w:lvlJc w:val="left"/>
      <w:pPr>
        <w:ind w:left="18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5DB0BE3C">
      <w:start w:val="1"/>
      <w:numFmt w:val="lowerRoman"/>
      <w:lvlText w:val="%3"/>
      <w:lvlJc w:val="left"/>
      <w:pPr>
        <w:ind w:left="25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9FB20B06">
      <w:start w:val="1"/>
      <w:numFmt w:val="decimal"/>
      <w:lvlText w:val="%4"/>
      <w:lvlJc w:val="left"/>
      <w:pPr>
        <w:ind w:left="330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40F2117E">
      <w:start w:val="1"/>
      <w:numFmt w:val="lowerLetter"/>
      <w:lvlText w:val="%5"/>
      <w:lvlJc w:val="left"/>
      <w:pPr>
        <w:ind w:left="40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57CA60BA">
      <w:start w:val="1"/>
      <w:numFmt w:val="lowerRoman"/>
      <w:lvlText w:val="%6"/>
      <w:lvlJc w:val="left"/>
      <w:pPr>
        <w:ind w:left="47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2A12680E">
      <w:start w:val="1"/>
      <w:numFmt w:val="decimal"/>
      <w:lvlText w:val="%7"/>
      <w:lvlJc w:val="left"/>
      <w:pPr>
        <w:ind w:left="54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6C02044C">
      <w:start w:val="1"/>
      <w:numFmt w:val="lowerLetter"/>
      <w:lvlText w:val="%8"/>
      <w:lvlJc w:val="left"/>
      <w:pPr>
        <w:ind w:left="61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4A9EFA9C">
      <w:start w:val="1"/>
      <w:numFmt w:val="lowerRoman"/>
      <w:lvlText w:val="%9"/>
      <w:lvlJc w:val="left"/>
      <w:pPr>
        <w:ind w:left="690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7CB47BE"/>
    <w:multiLevelType w:val="hybridMultilevel"/>
    <w:tmpl w:val="F5F0B78C"/>
    <w:lvl w:ilvl="0" w:tplc="2438CCD4">
      <w:start w:val="1"/>
      <w:numFmt w:val="decimal"/>
      <w:lvlText w:val="(%1)"/>
      <w:lvlJc w:val="left"/>
      <w:pPr>
        <w:ind w:left="101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984299F4">
      <w:start w:val="1"/>
      <w:numFmt w:val="lowerLetter"/>
      <w:lvlText w:val="%2"/>
      <w:lvlJc w:val="left"/>
      <w:pPr>
        <w:ind w:left="13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ABC89CCC">
      <w:start w:val="1"/>
      <w:numFmt w:val="lowerRoman"/>
      <w:lvlText w:val="%3"/>
      <w:lvlJc w:val="left"/>
      <w:pPr>
        <w:ind w:left="20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E842C0A4">
      <w:start w:val="1"/>
      <w:numFmt w:val="decimal"/>
      <w:lvlText w:val="%4"/>
      <w:lvlJc w:val="left"/>
      <w:pPr>
        <w:ind w:left="27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C72218A6">
      <w:start w:val="1"/>
      <w:numFmt w:val="lowerLetter"/>
      <w:lvlText w:val="%5"/>
      <w:lvlJc w:val="left"/>
      <w:pPr>
        <w:ind w:left="350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20ACBFAE">
      <w:start w:val="1"/>
      <w:numFmt w:val="lowerRoman"/>
      <w:lvlText w:val="%6"/>
      <w:lvlJc w:val="left"/>
      <w:pPr>
        <w:ind w:left="42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ECF4EB46">
      <w:start w:val="1"/>
      <w:numFmt w:val="decimal"/>
      <w:lvlText w:val="%7"/>
      <w:lvlJc w:val="left"/>
      <w:pPr>
        <w:ind w:left="49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A274A6AC">
      <w:start w:val="1"/>
      <w:numFmt w:val="lowerLetter"/>
      <w:lvlText w:val="%8"/>
      <w:lvlJc w:val="left"/>
      <w:pPr>
        <w:ind w:left="56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A2A63B60">
      <w:start w:val="1"/>
      <w:numFmt w:val="lowerRoman"/>
      <w:lvlText w:val="%9"/>
      <w:lvlJc w:val="left"/>
      <w:pPr>
        <w:ind w:left="63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1C92108"/>
    <w:multiLevelType w:val="hybridMultilevel"/>
    <w:tmpl w:val="F28ED218"/>
    <w:lvl w:ilvl="0" w:tplc="8B40AAEA">
      <w:start w:val="5"/>
      <w:numFmt w:val="decimal"/>
      <w:lvlText w:val="(%1)"/>
      <w:lvlJc w:val="left"/>
      <w:pPr>
        <w:ind w:left="89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827C434C">
      <w:start w:val="1"/>
      <w:numFmt w:val="aiueoFullWidth"/>
      <w:lvlText w:val="%2"/>
      <w:lvlJc w:val="left"/>
      <w:pPr>
        <w:ind w:left="115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22B2555E">
      <w:start w:val="1"/>
      <w:numFmt w:val="lowerRoman"/>
      <w:lvlText w:val="%3"/>
      <w:lvlJc w:val="left"/>
      <w:pPr>
        <w:ind w:left="159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4B4624A4">
      <w:start w:val="1"/>
      <w:numFmt w:val="decimal"/>
      <w:lvlText w:val="%4"/>
      <w:lvlJc w:val="left"/>
      <w:pPr>
        <w:ind w:left="231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02EEDCFC">
      <w:start w:val="1"/>
      <w:numFmt w:val="lowerLetter"/>
      <w:lvlText w:val="%5"/>
      <w:lvlJc w:val="left"/>
      <w:pPr>
        <w:ind w:left="303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4B22F09E">
      <w:start w:val="1"/>
      <w:numFmt w:val="lowerRoman"/>
      <w:lvlText w:val="%6"/>
      <w:lvlJc w:val="left"/>
      <w:pPr>
        <w:ind w:left="375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73423950">
      <w:start w:val="1"/>
      <w:numFmt w:val="decimal"/>
      <w:lvlText w:val="%7"/>
      <w:lvlJc w:val="left"/>
      <w:pPr>
        <w:ind w:left="447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0CDCCEC6">
      <w:start w:val="1"/>
      <w:numFmt w:val="lowerLetter"/>
      <w:lvlText w:val="%8"/>
      <w:lvlJc w:val="left"/>
      <w:pPr>
        <w:ind w:left="519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136A5008">
      <w:start w:val="1"/>
      <w:numFmt w:val="lowerRoman"/>
      <w:lvlText w:val="%9"/>
      <w:lvlJc w:val="left"/>
      <w:pPr>
        <w:ind w:left="591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EC92FE3"/>
    <w:multiLevelType w:val="hybridMultilevel"/>
    <w:tmpl w:val="9348AD60"/>
    <w:lvl w:ilvl="0" w:tplc="B67EB392">
      <w:start w:val="1"/>
      <w:numFmt w:val="decimalFullWidth"/>
      <w:lvlText w:val="%1"/>
      <w:lvlJc w:val="left"/>
      <w:pPr>
        <w:ind w:left="6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825A3548">
      <w:start w:val="1"/>
      <w:numFmt w:val="decimal"/>
      <w:lvlText w:val="(%2)"/>
      <w:lvlJc w:val="left"/>
      <w:pPr>
        <w:ind w:left="89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858E2834">
      <w:start w:val="1"/>
      <w:numFmt w:val="lowerRoman"/>
      <w:lvlText w:val="%3"/>
      <w:lvlJc w:val="left"/>
      <w:pPr>
        <w:ind w:left="133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D1B80DFA">
      <w:start w:val="1"/>
      <w:numFmt w:val="decimal"/>
      <w:lvlText w:val="%4"/>
      <w:lvlJc w:val="left"/>
      <w:pPr>
        <w:ind w:left="205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6CFC9A6C">
      <w:start w:val="1"/>
      <w:numFmt w:val="lowerLetter"/>
      <w:lvlText w:val="%5"/>
      <w:lvlJc w:val="left"/>
      <w:pPr>
        <w:ind w:left="277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CDF01600">
      <w:start w:val="1"/>
      <w:numFmt w:val="lowerRoman"/>
      <w:lvlText w:val="%6"/>
      <w:lvlJc w:val="left"/>
      <w:pPr>
        <w:ind w:left="349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81F6286A">
      <w:start w:val="1"/>
      <w:numFmt w:val="decimal"/>
      <w:lvlText w:val="%7"/>
      <w:lvlJc w:val="left"/>
      <w:pPr>
        <w:ind w:left="421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F3D602EC">
      <w:start w:val="1"/>
      <w:numFmt w:val="lowerLetter"/>
      <w:lvlText w:val="%8"/>
      <w:lvlJc w:val="left"/>
      <w:pPr>
        <w:ind w:left="493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8556AF74">
      <w:start w:val="1"/>
      <w:numFmt w:val="lowerRoman"/>
      <w:lvlText w:val="%9"/>
      <w:lvlJc w:val="left"/>
      <w:pPr>
        <w:ind w:left="565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17C"/>
    <w:rsid w:val="001160D5"/>
    <w:rsid w:val="00131EFD"/>
    <w:rsid w:val="001B4400"/>
    <w:rsid w:val="002C260F"/>
    <w:rsid w:val="002C6F82"/>
    <w:rsid w:val="0035405C"/>
    <w:rsid w:val="004D2FE6"/>
    <w:rsid w:val="00567184"/>
    <w:rsid w:val="005A7632"/>
    <w:rsid w:val="005D1B74"/>
    <w:rsid w:val="00715E1B"/>
    <w:rsid w:val="007347B6"/>
    <w:rsid w:val="007E618B"/>
    <w:rsid w:val="008F5B0E"/>
    <w:rsid w:val="00925B28"/>
    <w:rsid w:val="009D0482"/>
    <w:rsid w:val="00AC30D9"/>
    <w:rsid w:val="00B07F03"/>
    <w:rsid w:val="00BD2CAB"/>
    <w:rsid w:val="00C27D9D"/>
    <w:rsid w:val="00E65422"/>
    <w:rsid w:val="00F0017C"/>
    <w:rsid w:val="00F212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551B956"/>
  <w15:docId w15:val="{0788E916-A0DF-4D08-8B20-D096BE663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left="10" w:right="120" w:hanging="10"/>
    </w:pPr>
    <w:rPr>
      <w:rFonts w:ascii="ＭＳ 明朝" w:eastAsia="ＭＳ 明朝" w:hAnsi="ＭＳ 明朝" w:cs="ＭＳ 明朝"/>
      <w:color w:val="000000"/>
      <w:sz w:val="24"/>
    </w:rPr>
  </w:style>
  <w:style w:type="paragraph" w:styleId="1">
    <w:name w:val="heading 1"/>
    <w:next w:val="a"/>
    <w:link w:val="10"/>
    <w:uiPriority w:val="9"/>
    <w:unhideWhenUsed/>
    <w:qFormat/>
    <w:rsid w:val="00C27D9D"/>
    <w:pPr>
      <w:keepNext/>
      <w:keepLines/>
      <w:spacing w:after="161" w:line="265" w:lineRule="auto"/>
      <w:ind w:left="3380" w:hanging="10"/>
      <w:outlineLvl w:val="0"/>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C27D9D"/>
    <w:rPr>
      <w:rFonts w:ascii="ＭＳ 明朝" w:eastAsia="ＭＳ 明朝" w:hAnsi="ＭＳ 明朝" w:cs="ＭＳ 明朝"/>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header"/>
    <w:basedOn w:val="a"/>
    <w:link w:val="a4"/>
    <w:uiPriority w:val="99"/>
    <w:unhideWhenUsed/>
    <w:rsid w:val="007347B6"/>
    <w:pPr>
      <w:tabs>
        <w:tab w:val="center" w:pos="4252"/>
        <w:tab w:val="right" w:pos="8504"/>
      </w:tabs>
      <w:snapToGrid w:val="0"/>
    </w:pPr>
  </w:style>
  <w:style w:type="character" w:customStyle="1" w:styleId="a4">
    <w:name w:val="ヘッダー (文字)"/>
    <w:basedOn w:val="a0"/>
    <w:link w:val="a3"/>
    <w:uiPriority w:val="99"/>
    <w:rsid w:val="007347B6"/>
    <w:rPr>
      <w:rFonts w:ascii="ＭＳ 明朝" w:eastAsia="ＭＳ 明朝" w:hAnsi="ＭＳ 明朝" w:cs="ＭＳ 明朝"/>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5EE620-2515-4BD8-9E1C-EC8E3AEDD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185</Words>
  <Characters>1058</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1241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