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05" w:rsidRPr="00447FE3" w:rsidRDefault="00A107E1" w:rsidP="00CF22B0">
      <w:pPr>
        <w:ind w:firstLineChars="400" w:firstLine="795"/>
        <w:rPr>
          <w:szCs w:val="21"/>
        </w:rPr>
      </w:pPr>
      <w:r w:rsidRPr="00447FE3">
        <w:rPr>
          <w:rFonts w:asciiTheme="majorEastAsia" w:eastAsiaTheme="majorEastAsia" w:hAnsiTheme="majorEastAsia" w:hint="eastAsia"/>
          <w:b/>
          <w:szCs w:val="21"/>
        </w:rPr>
        <w:t>別記</w:t>
      </w:r>
      <w:r w:rsidR="000C183D" w:rsidRPr="00447FE3">
        <w:rPr>
          <w:rFonts w:asciiTheme="majorEastAsia" w:eastAsiaTheme="majorEastAsia" w:hAnsiTheme="majorEastAsia" w:hint="eastAsia"/>
          <w:b/>
          <w:szCs w:val="21"/>
        </w:rPr>
        <w:t>様式</w:t>
      </w:r>
      <w:r w:rsidR="008C6D07" w:rsidRPr="00447FE3">
        <w:rPr>
          <w:rFonts w:asciiTheme="majorEastAsia" w:eastAsiaTheme="majorEastAsia" w:hAnsiTheme="majorEastAsia" w:hint="eastAsia"/>
          <w:b/>
          <w:szCs w:val="21"/>
        </w:rPr>
        <w:t>第</w:t>
      </w:r>
      <w:r w:rsidR="00C82DF4">
        <w:rPr>
          <w:rFonts w:asciiTheme="majorEastAsia" w:eastAsiaTheme="majorEastAsia" w:hAnsiTheme="majorEastAsia" w:hint="eastAsia"/>
          <w:b/>
          <w:szCs w:val="21"/>
        </w:rPr>
        <w:t>20</w:t>
      </w:r>
      <w:r w:rsidR="00D03A31" w:rsidRPr="00447FE3">
        <w:rPr>
          <w:rFonts w:asciiTheme="majorEastAsia" w:eastAsiaTheme="majorEastAsia" w:hAnsiTheme="majorEastAsia" w:hint="eastAsia"/>
          <w:b/>
          <w:szCs w:val="21"/>
        </w:rPr>
        <w:t>号</w:t>
      </w:r>
      <w:r w:rsidR="00E90D05" w:rsidRPr="00447FE3">
        <w:rPr>
          <w:szCs w:val="21"/>
        </w:rPr>
        <w:t>(</w:t>
      </w:r>
      <w:r w:rsidRPr="00447FE3">
        <w:rPr>
          <w:rFonts w:hint="eastAsia"/>
          <w:szCs w:val="21"/>
        </w:rPr>
        <w:t>第</w:t>
      </w:r>
      <w:r w:rsidR="00416B78">
        <w:rPr>
          <w:rFonts w:hint="eastAsia"/>
          <w:szCs w:val="21"/>
        </w:rPr>
        <w:t>50</w:t>
      </w:r>
      <w:r w:rsidR="003E390C" w:rsidRPr="00447FE3">
        <w:rPr>
          <w:rFonts w:hint="eastAsia"/>
          <w:szCs w:val="21"/>
        </w:rPr>
        <w:t>条</w:t>
      </w:r>
      <w:r w:rsidR="00E90D05" w:rsidRPr="00447FE3">
        <w:rPr>
          <w:rFonts w:hint="eastAsia"/>
          <w:szCs w:val="21"/>
        </w:rPr>
        <w:t>関係</w:t>
      </w:r>
      <w:r w:rsidR="00E90D05" w:rsidRPr="00447FE3">
        <w:rPr>
          <w:szCs w:val="21"/>
        </w:rPr>
        <w:t>)</w:t>
      </w:r>
    </w:p>
    <w:p w:rsidR="007E150F" w:rsidRPr="00447FE3" w:rsidRDefault="007E150F">
      <w:pPr>
        <w:jc w:val="center"/>
        <w:rPr>
          <w:szCs w:val="21"/>
        </w:rPr>
      </w:pPr>
    </w:p>
    <w:p w:rsidR="00E90D05" w:rsidRPr="00447FE3" w:rsidRDefault="007E150F">
      <w:pPr>
        <w:jc w:val="center"/>
        <w:rPr>
          <w:szCs w:val="21"/>
        </w:rPr>
      </w:pPr>
      <w:r w:rsidRPr="00447FE3">
        <w:rPr>
          <w:rFonts w:hint="eastAsia"/>
          <w:szCs w:val="21"/>
        </w:rPr>
        <w:t>第１面</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
        <w:gridCol w:w="1807"/>
        <w:gridCol w:w="5670"/>
      </w:tblGrid>
      <w:tr w:rsidR="00447FE3" w:rsidRPr="00447FE3" w:rsidTr="00161496">
        <w:trPr>
          <w:cantSplit/>
          <w:trHeight w:val="1682"/>
        </w:trPr>
        <w:tc>
          <w:tcPr>
            <w:tcW w:w="8364" w:type="dxa"/>
            <w:gridSpan w:val="3"/>
            <w:tcBorders>
              <w:bottom w:val="nil"/>
            </w:tcBorders>
          </w:tcPr>
          <w:p w:rsidR="00CF22B0" w:rsidRPr="00447FE3" w:rsidRDefault="00CF22B0" w:rsidP="00CF22B0">
            <w:pPr>
              <w:spacing w:beforeLines="50" w:before="167"/>
              <w:jc w:val="right"/>
              <w:rPr>
                <w:sz w:val="16"/>
                <w:szCs w:val="16"/>
              </w:rPr>
            </w:pPr>
            <w:r w:rsidRPr="00447FE3">
              <w:rPr>
                <w:rFonts w:hint="eastAsia"/>
                <w:sz w:val="16"/>
                <w:szCs w:val="16"/>
              </w:rPr>
              <w:t xml:space="preserve">第　　　　　号　　</w:t>
            </w:r>
          </w:p>
          <w:p w:rsidR="000F0FAD" w:rsidRPr="00447FE3" w:rsidRDefault="000F0FAD" w:rsidP="00CF22B0">
            <w:pPr>
              <w:jc w:val="center"/>
              <w:rPr>
                <w:sz w:val="16"/>
                <w:szCs w:val="16"/>
              </w:rPr>
            </w:pPr>
          </w:p>
          <w:p w:rsidR="000F0FAD" w:rsidRPr="00447FE3" w:rsidRDefault="00CF22B0" w:rsidP="00CF22B0">
            <w:pPr>
              <w:jc w:val="center"/>
              <w:rPr>
                <w:sz w:val="16"/>
                <w:szCs w:val="16"/>
              </w:rPr>
            </w:pPr>
            <w:r w:rsidRPr="00447FE3">
              <w:rPr>
                <w:rFonts w:hint="eastAsia"/>
                <w:sz w:val="16"/>
                <w:szCs w:val="16"/>
              </w:rPr>
              <w:t>外国人の技能実習の適正な実施及び技能実習生の保護に関する法律</w:t>
            </w:r>
          </w:p>
          <w:p w:rsidR="00447FE3" w:rsidRPr="00447FE3" w:rsidRDefault="00447FE3" w:rsidP="00CF22B0">
            <w:pPr>
              <w:jc w:val="center"/>
              <w:rPr>
                <w:sz w:val="16"/>
                <w:szCs w:val="16"/>
              </w:rPr>
            </w:pPr>
            <w:r w:rsidRPr="00447FE3">
              <w:rPr>
                <w:rFonts w:hint="eastAsia"/>
                <w:sz w:val="16"/>
                <w:szCs w:val="16"/>
              </w:rPr>
              <w:t>第35条第２項において準用する</w:t>
            </w:r>
            <w:r w:rsidR="00DE5A4B">
              <w:rPr>
                <w:rFonts w:hint="eastAsia"/>
                <w:sz w:val="16"/>
                <w:szCs w:val="16"/>
              </w:rPr>
              <w:t>同</w:t>
            </w:r>
            <w:r w:rsidRPr="00447FE3">
              <w:rPr>
                <w:rFonts w:hint="eastAsia"/>
                <w:sz w:val="16"/>
                <w:szCs w:val="16"/>
              </w:rPr>
              <w:t>法第13条第２項</w:t>
            </w:r>
            <w:r w:rsidR="00CF22B0" w:rsidRPr="00447FE3">
              <w:rPr>
                <w:rFonts w:hint="eastAsia"/>
                <w:sz w:val="16"/>
                <w:szCs w:val="16"/>
              </w:rPr>
              <w:t>の規定による立入検査証</w:t>
            </w:r>
          </w:p>
          <w:p w:rsidR="00CF22B0" w:rsidRPr="00447FE3" w:rsidRDefault="00447FE3" w:rsidP="00CF22B0">
            <w:pPr>
              <w:jc w:val="center"/>
              <w:rPr>
                <w:sz w:val="16"/>
                <w:szCs w:val="16"/>
              </w:rPr>
            </w:pPr>
            <w:r w:rsidRPr="00447FE3">
              <w:rPr>
                <w:rFonts w:hint="eastAsia"/>
                <w:sz w:val="16"/>
                <w:szCs w:val="16"/>
              </w:rPr>
              <w:t>（</w:t>
            </w:r>
            <w:r w:rsidR="00DE5A4B">
              <w:rPr>
                <w:rFonts w:hint="eastAsia"/>
                <w:sz w:val="16"/>
                <w:szCs w:val="16"/>
              </w:rPr>
              <w:t>同</w:t>
            </w:r>
            <w:r w:rsidRPr="00447FE3">
              <w:rPr>
                <w:rFonts w:hint="eastAsia"/>
                <w:sz w:val="16"/>
                <w:szCs w:val="16"/>
              </w:rPr>
              <w:t>第104条第１項に規定する報告徴収等のみを担当する職員の身分を示す証明書に限る。）</w:t>
            </w:r>
          </w:p>
          <w:p w:rsidR="000F0FAD" w:rsidRPr="00447FE3" w:rsidRDefault="000F0FAD" w:rsidP="00CF22B0">
            <w:pPr>
              <w:jc w:val="center"/>
              <w:rPr>
                <w:sz w:val="16"/>
                <w:szCs w:val="16"/>
              </w:rPr>
            </w:pPr>
          </w:p>
        </w:tc>
      </w:tr>
      <w:tr w:rsidR="00447FE3" w:rsidRPr="00447FE3" w:rsidTr="00161496">
        <w:trPr>
          <w:cantSplit/>
          <w:trHeight w:val="2398"/>
        </w:trPr>
        <w:tc>
          <w:tcPr>
            <w:tcW w:w="887" w:type="dxa"/>
            <w:tcBorders>
              <w:top w:val="nil"/>
              <w:bottom w:val="nil"/>
              <w:right w:val="single" w:sz="4" w:space="0" w:color="auto"/>
            </w:tcBorders>
            <w:vAlign w:val="center"/>
          </w:tcPr>
          <w:p w:rsidR="00CF22B0" w:rsidRPr="00447FE3" w:rsidRDefault="00CF22B0">
            <w:pPr>
              <w:rPr>
                <w:sz w:val="16"/>
                <w:szCs w:val="16"/>
              </w:rPr>
            </w:pPr>
          </w:p>
        </w:tc>
        <w:tc>
          <w:tcPr>
            <w:tcW w:w="1807" w:type="dxa"/>
            <w:tcBorders>
              <w:top w:val="single" w:sz="4" w:space="0" w:color="auto"/>
              <w:bottom w:val="single" w:sz="4" w:space="0" w:color="auto"/>
              <w:right w:val="single" w:sz="4" w:space="0" w:color="auto"/>
            </w:tcBorders>
            <w:vAlign w:val="center"/>
          </w:tcPr>
          <w:p w:rsidR="00CF22B0" w:rsidRPr="00447FE3" w:rsidRDefault="00CF22B0" w:rsidP="00CF22B0">
            <w:pPr>
              <w:jc w:val="center"/>
              <w:rPr>
                <w:sz w:val="16"/>
                <w:szCs w:val="16"/>
              </w:rPr>
            </w:pPr>
            <w:r w:rsidRPr="00447FE3">
              <w:rPr>
                <w:rFonts w:hint="eastAsia"/>
                <w:sz w:val="16"/>
                <w:szCs w:val="16"/>
              </w:rPr>
              <w:t>写</w:t>
            </w:r>
          </w:p>
          <w:p w:rsidR="00CF22B0" w:rsidRPr="00447FE3" w:rsidRDefault="00CF22B0">
            <w:pPr>
              <w:rPr>
                <w:sz w:val="16"/>
                <w:szCs w:val="16"/>
              </w:rPr>
            </w:pPr>
          </w:p>
          <w:p w:rsidR="00CF22B0" w:rsidRPr="00447FE3" w:rsidRDefault="00CF22B0">
            <w:pPr>
              <w:rPr>
                <w:sz w:val="16"/>
                <w:szCs w:val="16"/>
              </w:rPr>
            </w:pPr>
          </w:p>
          <w:p w:rsidR="00CF22B0" w:rsidRPr="00447FE3" w:rsidRDefault="00CF22B0" w:rsidP="00CF22B0">
            <w:pPr>
              <w:jc w:val="center"/>
              <w:rPr>
                <w:sz w:val="16"/>
                <w:szCs w:val="16"/>
              </w:rPr>
            </w:pPr>
            <w:r w:rsidRPr="00447FE3">
              <w:rPr>
                <w:rFonts w:hint="eastAsia"/>
                <w:sz w:val="16"/>
                <w:szCs w:val="16"/>
              </w:rPr>
              <w:t>真</w:t>
            </w:r>
          </w:p>
        </w:tc>
        <w:tc>
          <w:tcPr>
            <w:tcW w:w="5670" w:type="dxa"/>
            <w:tcBorders>
              <w:top w:val="nil"/>
              <w:bottom w:val="nil"/>
            </w:tcBorders>
            <w:vAlign w:val="center"/>
          </w:tcPr>
          <w:p w:rsidR="00CF22B0" w:rsidRPr="00447FE3" w:rsidRDefault="00CF22B0" w:rsidP="00CF22B0">
            <w:pPr>
              <w:jc w:val="right"/>
              <w:rPr>
                <w:sz w:val="16"/>
                <w:szCs w:val="16"/>
              </w:rPr>
            </w:pPr>
            <w:r w:rsidRPr="00447FE3">
              <w:rPr>
                <w:rFonts w:hint="eastAsia"/>
                <w:sz w:val="16"/>
                <w:szCs w:val="16"/>
              </w:rPr>
              <w:t xml:space="preserve">職名及び氏名　　　　　　　　　　　　　　　　　　</w:t>
            </w:r>
          </w:p>
          <w:p w:rsidR="00CF22B0" w:rsidRPr="00447FE3" w:rsidRDefault="00CF22B0" w:rsidP="00CF22B0">
            <w:pPr>
              <w:jc w:val="right"/>
              <w:rPr>
                <w:sz w:val="16"/>
                <w:szCs w:val="16"/>
              </w:rPr>
            </w:pPr>
          </w:p>
          <w:p w:rsidR="00CF22B0" w:rsidRPr="00447FE3" w:rsidRDefault="00CF22B0" w:rsidP="00CF22B0">
            <w:pPr>
              <w:jc w:val="right"/>
              <w:rPr>
                <w:sz w:val="16"/>
                <w:szCs w:val="16"/>
              </w:rPr>
            </w:pPr>
            <w:r w:rsidRPr="00447FE3">
              <w:rPr>
                <w:rFonts w:hint="eastAsia"/>
                <w:sz w:val="16"/>
                <w:szCs w:val="16"/>
              </w:rPr>
              <w:t xml:space="preserve">年　　　　月　　　　日生　　　　　　　</w:t>
            </w:r>
          </w:p>
          <w:p w:rsidR="00CF22B0" w:rsidRPr="00447FE3" w:rsidRDefault="00CF22B0" w:rsidP="00CF22B0">
            <w:pPr>
              <w:jc w:val="right"/>
              <w:rPr>
                <w:sz w:val="16"/>
                <w:szCs w:val="16"/>
              </w:rPr>
            </w:pPr>
            <w:r w:rsidRPr="00447FE3">
              <w:rPr>
                <w:rFonts w:hint="eastAsia"/>
                <w:sz w:val="16"/>
                <w:szCs w:val="16"/>
              </w:rPr>
              <w:t xml:space="preserve">年　　　　月　　　　日交付　　　　　　</w:t>
            </w:r>
          </w:p>
          <w:p w:rsidR="00CF22B0" w:rsidRPr="00447FE3" w:rsidRDefault="00CF22B0">
            <w:pPr>
              <w:rPr>
                <w:sz w:val="16"/>
                <w:szCs w:val="16"/>
              </w:rPr>
            </w:pPr>
          </w:p>
          <w:p w:rsidR="00CF22B0" w:rsidRPr="00447FE3" w:rsidRDefault="00CF22B0">
            <w:pPr>
              <w:rPr>
                <w:sz w:val="16"/>
                <w:szCs w:val="16"/>
              </w:rPr>
            </w:pPr>
          </w:p>
          <w:p w:rsidR="00CF22B0" w:rsidRPr="00447FE3" w:rsidRDefault="00CF22B0">
            <w:pPr>
              <w:rPr>
                <w:sz w:val="16"/>
                <w:szCs w:val="16"/>
              </w:rPr>
            </w:pPr>
          </w:p>
          <w:p w:rsidR="00CF22B0" w:rsidRPr="00447FE3" w:rsidRDefault="00CF22B0" w:rsidP="00DB68BD">
            <w:pPr>
              <w:jc w:val="right"/>
              <w:rPr>
                <w:sz w:val="16"/>
                <w:szCs w:val="16"/>
              </w:rPr>
            </w:pPr>
            <w:r w:rsidRPr="00447FE3">
              <w:rPr>
                <w:rFonts w:hint="eastAsia"/>
                <w:sz w:val="16"/>
                <w:szCs w:val="16"/>
              </w:rPr>
              <w:t xml:space="preserve">　　　</w:t>
            </w:r>
          </w:p>
          <w:p w:rsidR="000F0FAD" w:rsidRPr="00447FE3" w:rsidRDefault="00447FE3" w:rsidP="00DB68BD">
            <w:pPr>
              <w:ind w:firstLineChars="1300" w:firstLine="1922"/>
              <w:rPr>
                <w:sz w:val="16"/>
                <w:szCs w:val="16"/>
              </w:rPr>
            </w:pPr>
            <w:r w:rsidRPr="00447FE3">
              <w:rPr>
                <w:rFonts w:hint="eastAsia"/>
                <w:sz w:val="16"/>
                <w:szCs w:val="16"/>
                <w:u w:val="single"/>
              </w:rPr>
              <w:t xml:space="preserve">　　　　　　　</w:t>
            </w:r>
            <w:r w:rsidRPr="00447FE3">
              <w:rPr>
                <w:rFonts w:hint="eastAsia"/>
                <w:sz w:val="16"/>
                <w:szCs w:val="16"/>
              </w:rPr>
              <w:t xml:space="preserve">　　　　　　　　　　　　　　印</w:t>
            </w:r>
          </w:p>
          <w:p w:rsidR="00CF22B0" w:rsidRPr="00447FE3" w:rsidRDefault="00DB68BD" w:rsidP="00DB68BD">
            <w:pPr>
              <w:ind w:firstLineChars="1300" w:firstLine="1922"/>
              <w:rPr>
                <w:sz w:val="16"/>
                <w:szCs w:val="16"/>
              </w:rPr>
            </w:pPr>
            <w:r w:rsidRPr="00447FE3">
              <w:rPr>
                <w:rFonts w:hint="eastAsia"/>
                <w:sz w:val="16"/>
                <w:szCs w:val="16"/>
              </w:rPr>
              <w:t xml:space="preserve">　　　</w:t>
            </w:r>
          </w:p>
        </w:tc>
      </w:tr>
      <w:tr w:rsidR="00161496" w:rsidRPr="00447FE3" w:rsidTr="00161496">
        <w:trPr>
          <w:cantSplit/>
          <w:trHeight w:val="563"/>
        </w:trPr>
        <w:tc>
          <w:tcPr>
            <w:tcW w:w="8364" w:type="dxa"/>
            <w:gridSpan w:val="3"/>
            <w:tcBorders>
              <w:top w:val="nil"/>
            </w:tcBorders>
            <w:vAlign w:val="center"/>
          </w:tcPr>
          <w:p w:rsidR="00CF22B0" w:rsidRPr="00447FE3" w:rsidRDefault="00CF22B0" w:rsidP="00CF22B0">
            <w:pPr>
              <w:rPr>
                <w:sz w:val="16"/>
                <w:szCs w:val="16"/>
              </w:rPr>
            </w:pPr>
          </w:p>
          <w:p w:rsidR="000F0FAD" w:rsidRPr="00447FE3" w:rsidRDefault="000F0FAD" w:rsidP="00CF22B0">
            <w:pPr>
              <w:rPr>
                <w:sz w:val="16"/>
                <w:szCs w:val="16"/>
              </w:rPr>
            </w:pPr>
          </w:p>
        </w:tc>
      </w:tr>
    </w:tbl>
    <w:p w:rsidR="00FF705F" w:rsidRPr="00447FE3" w:rsidRDefault="00FF705F" w:rsidP="00076BC4">
      <w:pPr>
        <w:jc w:val="center"/>
      </w:pPr>
    </w:p>
    <w:p w:rsidR="007E150F" w:rsidRPr="00447FE3" w:rsidRDefault="007E150F" w:rsidP="00076BC4">
      <w:pPr>
        <w:jc w:val="center"/>
        <w:rPr>
          <w:szCs w:val="21"/>
        </w:rPr>
      </w:pPr>
    </w:p>
    <w:p w:rsidR="00E90D05" w:rsidRPr="00447FE3" w:rsidRDefault="007E150F" w:rsidP="00076BC4">
      <w:pPr>
        <w:jc w:val="center"/>
        <w:rPr>
          <w:szCs w:val="21"/>
        </w:rPr>
      </w:pPr>
      <w:r w:rsidRPr="00447FE3">
        <w:rPr>
          <w:rFonts w:hint="eastAsia"/>
          <w:szCs w:val="21"/>
        </w:rPr>
        <w:t>第２面</w:t>
      </w:r>
    </w:p>
    <w:tbl>
      <w:tblPr>
        <w:tblStyle w:val="ae"/>
        <w:tblW w:w="0" w:type="auto"/>
        <w:jc w:val="center"/>
        <w:tblCellMar>
          <w:right w:w="85" w:type="dxa"/>
        </w:tblCellMar>
        <w:tblLook w:val="04A0" w:firstRow="1" w:lastRow="0" w:firstColumn="1" w:lastColumn="0" w:noHBand="0" w:noVBand="1"/>
      </w:tblPr>
      <w:tblGrid>
        <w:gridCol w:w="8315"/>
      </w:tblGrid>
      <w:tr w:rsidR="00447FE3" w:rsidRPr="00447FE3" w:rsidTr="008C6D07">
        <w:trPr>
          <w:trHeight w:val="4536"/>
          <w:jc w:val="center"/>
        </w:trPr>
        <w:tc>
          <w:tcPr>
            <w:tcW w:w="8315" w:type="dxa"/>
          </w:tcPr>
          <w:p w:rsidR="00FF705F" w:rsidRPr="00447FE3" w:rsidRDefault="00A107E1" w:rsidP="00A107E1">
            <w:pPr>
              <w:spacing w:beforeLines="50" w:before="167" w:line="220" w:lineRule="exact"/>
              <w:jc w:val="center"/>
              <w:rPr>
                <w:sz w:val="16"/>
                <w:szCs w:val="16"/>
              </w:rPr>
            </w:pPr>
            <w:r w:rsidRPr="00447FE3">
              <w:rPr>
                <w:rFonts w:hint="eastAsia"/>
                <w:sz w:val="16"/>
                <w:szCs w:val="16"/>
              </w:rPr>
              <w:t>外国人の技能実習の適正な実施及び技能実習生の保護に関する法律</w:t>
            </w:r>
            <w:r w:rsidR="00CD5FCD" w:rsidRPr="00447FE3">
              <w:rPr>
                <w:rFonts w:hint="eastAsia"/>
                <w:sz w:val="16"/>
                <w:szCs w:val="16"/>
              </w:rPr>
              <w:t>抜粋</w:t>
            </w:r>
          </w:p>
          <w:p w:rsidR="00447FE3" w:rsidRPr="00447FE3" w:rsidRDefault="00447FE3" w:rsidP="00447FE3">
            <w:pPr>
              <w:spacing w:line="220" w:lineRule="exact"/>
              <w:ind w:firstLineChars="100" w:firstLine="148"/>
              <w:rPr>
                <w:sz w:val="16"/>
                <w:szCs w:val="16"/>
              </w:rPr>
            </w:pPr>
          </w:p>
          <w:p w:rsidR="00447FE3" w:rsidRPr="00447FE3" w:rsidRDefault="00447FE3" w:rsidP="00447FE3">
            <w:pPr>
              <w:spacing w:line="220" w:lineRule="exact"/>
              <w:ind w:firstLineChars="100" w:firstLine="148"/>
              <w:rPr>
                <w:sz w:val="16"/>
                <w:szCs w:val="16"/>
              </w:rPr>
            </w:pPr>
            <w:r w:rsidRPr="00447FE3">
              <w:rPr>
                <w:rFonts w:hint="eastAsia"/>
                <w:sz w:val="16"/>
                <w:szCs w:val="16"/>
              </w:rPr>
              <w:t>（報告徴収等）</w:t>
            </w:r>
          </w:p>
          <w:p w:rsidR="00447FE3" w:rsidRPr="00447FE3" w:rsidRDefault="00447FE3" w:rsidP="00447FE3">
            <w:pPr>
              <w:spacing w:line="220" w:lineRule="exact"/>
              <w:rPr>
                <w:sz w:val="16"/>
                <w:szCs w:val="16"/>
              </w:rPr>
            </w:pPr>
            <w:r w:rsidRPr="00447FE3">
              <w:rPr>
                <w:rFonts w:hint="eastAsia"/>
                <w:sz w:val="16"/>
                <w:szCs w:val="16"/>
              </w:rPr>
              <w:t>第13条　（略）</w:t>
            </w:r>
          </w:p>
          <w:p w:rsidR="00447FE3" w:rsidRPr="00447FE3" w:rsidRDefault="00447FE3" w:rsidP="000C183D">
            <w:pPr>
              <w:spacing w:line="220" w:lineRule="exact"/>
              <w:ind w:left="148" w:hangingChars="100" w:hanging="148"/>
              <w:rPr>
                <w:sz w:val="16"/>
                <w:szCs w:val="16"/>
              </w:rPr>
            </w:pPr>
            <w:r w:rsidRPr="00447FE3">
              <w:rPr>
                <w:rFonts w:hint="eastAsia"/>
                <w:sz w:val="16"/>
                <w:szCs w:val="16"/>
              </w:rPr>
              <w:t>２　前項の規定による質問又は立入検査を行う場合においては、当該主務大臣の職員は、その身分を示す証明書を携帯し、かつ、関係者の請求があるときは、これを提示しなければならない。</w:t>
            </w:r>
          </w:p>
          <w:p w:rsidR="00447FE3" w:rsidRPr="00447FE3" w:rsidRDefault="00447FE3" w:rsidP="00447FE3">
            <w:pPr>
              <w:spacing w:line="220" w:lineRule="exact"/>
              <w:rPr>
                <w:sz w:val="16"/>
                <w:szCs w:val="16"/>
              </w:rPr>
            </w:pPr>
            <w:r w:rsidRPr="00447FE3">
              <w:rPr>
                <w:rFonts w:hint="eastAsia"/>
                <w:sz w:val="16"/>
                <w:szCs w:val="16"/>
              </w:rPr>
              <w:t>３　第</w:t>
            </w:r>
            <w:r w:rsidR="000054C5">
              <w:rPr>
                <w:rFonts w:hint="eastAsia"/>
                <w:sz w:val="16"/>
                <w:szCs w:val="16"/>
              </w:rPr>
              <w:t>１</w:t>
            </w:r>
            <w:r w:rsidRPr="00447FE3">
              <w:rPr>
                <w:rFonts w:hint="eastAsia"/>
                <w:sz w:val="16"/>
                <w:szCs w:val="16"/>
              </w:rPr>
              <w:t>項の規定による権限は、犯罪捜査のために認められたものと解釈してはならない。</w:t>
            </w:r>
          </w:p>
          <w:p w:rsidR="00447FE3" w:rsidRPr="00447FE3" w:rsidRDefault="00447FE3" w:rsidP="00447FE3">
            <w:pPr>
              <w:spacing w:line="220" w:lineRule="exact"/>
              <w:rPr>
                <w:sz w:val="16"/>
                <w:szCs w:val="16"/>
              </w:rPr>
            </w:pPr>
          </w:p>
          <w:p w:rsidR="00447FE3" w:rsidRPr="00447FE3" w:rsidRDefault="00447FE3" w:rsidP="00447FE3">
            <w:pPr>
              <w:spacing w:line="220" w:lineRule="exact"/>
              <w:rPr>
                <w:sz w:val="16"/>
                <w:szCs w:val="16"/>
              </w:rPr>
            </w:pPr>
            <w:r w:rsidRPr="00447FE3">
              <w:rPr>
                <w:rFonts w:hint="eastAsia"/>
                <w:sz w:val="16"/>
                <w:szCs w:val="16"/>
              </w:rPr>
              <w:t xml:space="preserve">　（報告徴収等）</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第35条　主務大臣は、この節の規定を施行するために必要な限度において、団体監理型技能実習関係者（監理団体等又は団体監理型実習実施者若しくは団体監理型実習実施者であった者をいう。以下この項において同じ。）若しくは団体監理型技能実習関係者の役員若しくは職員（以下この項において「役職員」という。）若しくは役職員であった者（以下この項において「役職員等」という。）に対し、報告若しくは帳簿書類の提出若しくは提示を命じ、若しくは団体監理型技能実習関係者若しくは役職員等に対し出頭を求め、又は当該主務大臣の職員に関係者に対して質問させ、若しくは団体監理型技能実習関係者に係る事業所その他団体監理型技能実習に関係のある場所に立ち入り、その設備若しくは帳簿書類その他の物件を検査させることができる。</w:t>
            </w:r>
          </w:p>
          <w:p w:rsidR="008C6D07" w:rsidRPr="00447FE3" w:rsidRDefault="00447FE3" w:rsidP="00447FE3">
            <w:pPr>
              <w:spacing w:line="220" w:lineRule="exact"/>
              <w:ind w:left="148" w:hangingChars="100" w:hanging="148"/>
              <w:rPr>
                <w:sz w:val="16"/>
                <w:szCs w:val="16"/>
              </w:rPr>
            </w:pPr>
            <w:r w:rsidRPr="00447FE3">
              <w:rPr>
                <w:rFonts w:hint="eastAsia"/>
                <w:sz w:val="16"/>
                <w:szCs w:val="16"/>
              </w:rPr>
              <w:t>２　第13条第２項の規定は前項の規定による質問又は立入検査について、同条第３項の規定は前項の規定による権限について、それぞれ準用する。</w:t>
            </w:r>
          </w:p>
        </w:tc>
      </w:tr>
    </w:tbl>
    <w:p w:rsidR="007E150F" w:rsidRPr="00447FE3" w:rsidRDefault="007E150F" w:rsidP="0064024E">
      <w:pPr>
        <w:rPr>
          <w:sz w:val="16"/>
        </w:rPr>
      </w:pPr>
    </w:p>
    <w:p w:rsidR="007E150F" w:rsidRPr="00447FE3" w:rsidRDefault="007E150F">
      <w:pPr>
        <w:widowControl/>
        <w:wordWrap/>
        <w:overflowPunct/>
        <w:autoSpaceDE/>
        <w:autoSpaceDN/>
        <w:jc w:val="left"/>
        <w:rPr>
          <w:szCs w:val="21"/>
        </w:rPr>
      </w:pPr>
      <w:r w:rsidRPr="00447FE3">
        <w:rPr>
          <w:szCs w:val="21"/>
        </w:rPr>
        <w:br w:type="page"/>
      </w:r>
    </w:p>
    <w:p w:rsidR="007E150F" w:rsidRPr="00447FE3" w:rsidRDefault="007E150F" w:rsidP="007E150F">
      <w:pPr>
        <w:jc w:val="center"/>
        <w:rPr>
          <w:szCs w:val="21"/>
        </w:rPr>
      </w:pPr>
    </w:p>
    <w:p w:rsidR="007E150F" w:rsidRPr="00447FE3" w:rsidRDefault="007E150F" w:rsidP="007E150F">
      <w:pPr>
        <w:jc w:val="center"/>
        <w:rPr>
          <w:szCs w:val="21"/>
        </w:rPr>
      </w:pPr>
    </w:p>
    <w:p w:rsidR="007E150F" w:rsidRPr="00447FE3" w:rsidRDefault="007E150F" w:rsidP="007E150F">
      <w:pPr>
        <w:jc w:val="center"/>
        <w:rPr>
          <w:szCs w:val="21"/>
        </w:rPr>
      </w:pPr>
      <w:r w:rsidRPr="00447FE3">
        <w:rPr>
          <w:rFonts w:hint="eastAsia"/>
          <w:szCs w:val="21"/>
        </w:rPr>
        <w:t>第３面</w:t>
      </w:r>
    </w:p>
    <w:tbl>
      <w:tblPr>
        <w:tblStyle w:val="ae"/>
        <w:tblW w:w="0" w:type="auto"/>
        <w:jc w:val="center"/>
        <w:tblCellMar>
          <w:right w:w="85" w:type="dxa"/>
        </w:tblCellMar>
        <w:tblLook w:val="04A0" w:firstRow="1" w:lastRow="0" w:firstColumn="1" w:lastColumn="0" w:noHBand="0" w:noVBand="1"/>
      </w:tblPr>
      <w:tblGrid>
        <w:gridCol w:w="8315"/>
      </w:tblGrid>
      <w:tr w:rsidR="00447FE3" w:rsidRPr="00447FE3" w:rsidTr="008C6D07">
        <w:trPr>
          <w:trHeight w:val="4536"/>
          <w:jc w:val="center"/>
        </w:trPr>
        <w:tc>
          <w:tcPr>
            <w:tcW w:w="8315" w:type="dxa"/>
          </w:tcPr>
          <w:p w:rsidR="008C6D07" w:rsidRPr="00447FE3" w:rsidRDefault="008C6D07" w:rsidP="008C6D07">
            <w:pPr>
              <w:spacing w:line="220" w:lineRule="exact"/>
              <w:rPr>
                <w:sz w:val="16"/>
                <w:szCs w:val="16"/>
              </w:rPr>
            </w:pPr>
          </w:p>
          <w:p w:rsidR="00447FE3" w:rsidRPr="00447FE3" w:rsidRDefault="00447FE3" w:rsidP="00447FE3">
            <w:pPr>
              <w:spacing w:line="220" w:lineRule="exact"/>
              <w:ind w:leftChars="100" w:left="198"/>
              <w:rPr>
                <w:sz w:val="16"/>
                <w:szCs w:val="16"/>
              </w:rPr>
            </w:pPr>
            <w:r w:rsidRPr="00447FE3">
              <w:rPr>
                <w:rFonts w:hint="eastAsia"/>
                <w:sz w:val="16"/>
                <w:szCs w:val="16"/>
              </w:rPr>
              <w:t>（許可の取消し等）</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第37条　主務大臣は、監理団体が次の各号のいずれかに該当するときは、監理許可を取り消すことができる。</w:t>
            </w:r>
          </w:p>
          <w:p w:rsidR="00447FE3" w:rsidRPr="00447FE3" w:rsidRDefault="00447FE3" w:rsidP="00447FE3">
            <w:pPr>
              <w:ind w:leftChars="100" w:left="346" w:hangingChars="100" w:hanging="148"/>
              <w:jc w:val="left"/>
              <w:rPr>
                <w:sz w:val="16"/>
                <w:szCs w:val="16"/>
              </w:rPr>
            </w:pPr>
            <w:r w:rsidRPr="00447FE3">
              <w:rPr>
                <w:rFonts w:hint="eastAsia"/>
                <w:sz w:val="16"/>
                <w:szCs w:val="16"/>
              </w:rPr>
              <w:t>一～三　（略）</w:t>
            </w:r>
          </w:p>
          <w:p w:rsidR="00447FE3" w:rsidRPr="00447FE3" w:rsidRDefault="00447FE3" w:rsidP="00447FE3">
            <w:pPr>
              <w:ind w:leftChars="100" w:left="346" w:hangingChars="100" w:hanging="148"/>
              <w:jc w:val="left"/>
              <w:rPr>
                <w:sz w:val="16"/>
                <w:szCs w:val="16"/>
              </w:rPr>
            </w:pPr>
            <w:r w:rsidRPr="00447FE3">
              <w:rPr>
                <w:rFonts w:hint="eastAsia"/>
                <w:sz w:val="16"/>
                <w:szCs w:val="16"/>
              </w:rPr>
              <w:t>四　この法律の規定若しくは出入国若しくは労働に関する法律の規定であって政令で定めるもの又はこれらの規定に基づく命令若しくは処分に違反したとき。</w:t>
            </w:r>
          </w:p>
          <w:p w:rsidR="00447FE3" w:rsidRPr="00447FE3" w:rsidRDefault="00447FE3" w:rsidP="00447FE3">
            <w:pPr>
              <w:ind w:leftChars="100" w:left="346" w:hangingChars="100" w:hanging="148"/>
              <w:jc w:val="left"/>
              <w:rPr>
                <w:sz w:val="16"/>
                <w:szCs w:val="16"/>
              </w:rPr>
            </w:pPr>
            <w:r w:rsidRPr="00447FE3">
              <w:rPr>
                <w:rFonts w:hint="eastAsia"/>
                <w:sz w:val="16"/>
                <w:szCs w:val="16"/>
              </w:rPr>
              <w:t>五　出入国又は労働に関する法令に関し不正又は著しく不当な行為をしたとき。</w:t>
            </w:r>
          </w:p>
          <w:p w:rsidR="007E150F" w:rsidRPr="00447FE3" w:rsidRDefault="00447FE3" w:rsidP="00447FE3">
            <w:pPr>
              <w:spacing w:line="220" w:lineRule="exact"/>
              <w:ind w:left="148" w:hangingChars="100" w:hanging="148"/>
              <w:rPr>
                <w:sz w:val="16"/>
                <w:szCs w:val="16"/>
              </w:rPr>
            </w:pPr>
            <w:r w:rsidRPr="00447FE3">
              <w:rPr>
                <w:rFonts w:hint="eastAsia"/>
                <w:sz w:val="16"/>
                <w:szCs w:val="16"/>
              </w:rPr>
              <w:t>２～４　（略）</w:t>
            </w:r>
          </w:p>
          <w:p w:rsidR="00447FE3" w:rsidRPr="00447FE3" w:rsidRDefault="00447FE3" w:rsidP="00447FE3">
            <w:pPr>
              <w:spacing w:line="220" w:lineRule="exact"/>
              <w:ind w:left="148" w:hangingChars="100" w:hanging="148"/>
              <w:rPr>
                <w:sz w:val="16"/>
                <w:szCs w:val="16"/>
              </w:rPr>
            </w:pPr>
          </w:p>
          <w:p w:rsidR="00447FE3" w:rsidRPr="00447FE3" w:rsidRDefault="00447FE3" w:rsidP="00447FE3">
            <w:pPr>
              <w:spacing w:line="220" w:lineRule="exact"/>
              <w:ind w:leftChars="100" w:left="198"/>
              <w:rPr>
                <w:sz w:val="16"/>
                <w:szCs w:val="16"/>
              </w:rPr>
            </w:pPr>
            <w:r w:rsidRPr="00447FE3">
              <w:rPr>
                <w:rFonts w:hint="eastAsia"/>
                <w:sz w:val="16"/>
                <w:szCs w:val="16"/>
              </w:rPr>
              <w:t>（監理責任者の設置等）</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第40条　（略）</w:t>
            </w:r>
          </w:p>
          <w:p w:rsidR="00447FE3" w:rsidRPr="00447FE3" w:rsidRDefault="00447FE3" w:rsidP="00447FE3">
            <w:pPr>
              <w:spacing w:line="220" w:lineRule="exact"/>
              <w:ind w:left="148" w:hangingChars="100" w:hanging="148"/>
              <w:rPr>
                <w:sz w:val="16"/>
                <w:szCs w:val="16"/>
              </w:rPr>
            </w:pPr>
            <w:r w:rsidRPr="00447FE3">
              <w:rPr>
                <w:rFonts w:hint="eastAsia"/>
                <w:sz w:val="16"/>
                <w:szCs w:val="16"/>
              </w:rPr>
              <w:t>２　（略）</w:t>
            </w:r>
          </w:p>
          <w:p w:rsidR="00D62CE5" w:rsidRDefault="00447FE3" w:rsidP="00D62CE5">
            <w:pPr>
              <w:spacing w:line="220" w:lineRule="exact"/>
              <w:ind w:left="148" w:hangingChars="100" w:hanging="148"/>
              <w:rPr>
                <w:sz w:val="16"/>
                <w:szCs w:val="16"/>
              </w:rPr>
            </w:pPr>
            <w:r w:rsidRPr="00447FE3">
              <w:rPr>
                <w:rFonts w:hint="eastAsia"/>
                <w:sz w:val="16"/>
                <w:szCs w:val="16"/>
              </w:rPr>
              <w:t>３　監理団体は、団体監理型実習実施者が、団体監理型技能実習に関し労働基準法、労働安全衛生法その他の労働に関する法令に違反しないよう、監理責任者をして、必要な指導を行わせなければならない。</w:t>
            </w:r>
          </w:p>
          <w:p w:rsidR="00447FE3" w:rsidRPr="00447FE3" w:rsidRDefault="00447FE3" w:rsidP="00D62CE5">
            <w:pPr>
              <w:spacing w:line="220" w:lineRule="exact"/>
              <w:ind w:left="148" w:hangingChars="100" w:hanging="148"/>
              <w:rPr>
                <w:sz w:val="16"/>
                <w:szCs w:val="16"/>
              </w:rPr>
            </w:pPr>
            <w:r w:rsidRPr="00447FE3">
              <w:rPr>
                <w:rFonts w:hint="eastAsia"/>
                <w:sz w:val="16"/>
                <w:szCs w:val="16"/>
              </w:rPr>
              <w:t>４　監理団体は、団体監理型実習実施者が、団体監理型技能実習に関し労働基準法、労働安全衛生法その他の労働に関する法令に違反していると認めるときは、監理責任者をして、是正のため必要な指示を行わせなければならない。</w:t>
            </w:r>
          </w:p>
          <w:p w:rsidR="00447FE3" w:rsidRPr="00447FE3" w:rsidRDefault="00447FE3" w:rsidP="00447FE3">
            <w:pPr>
              <w:spacing w:line="220" w:lineRule="exact"/>
              <w:ind w:left="148" w:hangingChars="100" w:hanging="148"/>
              <w:rPr>
                <w:sz w:val="16"/>
                <w:szCs w:val="16"/>
              </w:rPr>
            </w:pPr>
            <w:r w:rsidRPr="00447FE3">
              <w:rPr>
                <w:rFonts w:hint="eastAsia"/>
                <w:sz w:val="16"/>
                <w:szCs w:val="16"/>
              </w:rPr>
              <w:t>５　監理団体は、前項に規定する指示を行ったときは、速やかに、その旨を関係行政機関に通報しなければならない。</w:t>
            </w:r>
          </w:p>
          <w:p w:rsidR="00447FE3" w:rsidRPr="00447FE3" w:rsidRDefault="00447FE3" w:rsidP="00447FE3">
            <w:pPr>
              <w:spacing w:line="220" w:lineRule="exact"/>
              <w:ind w:left="148" w:hangingChars="100" w:hanging="148"/>
              <w:rPr>
                <w:sz w:val="16"/>
                <w:szCs w:val="16"/>
              </w:rPr>
            </w:pPr>
          </w:p>
          <w:p w:rsidR="00447FE3" w:rsidRPr="00447FE3" w:rsidRDefault="00447FE3" w:rsidP="00447FE3">
            <w:pPr>
              <w:spacing w:line="220" w:lineRule="exact"/>
              <w:ind w:leftChars="100" w:left="198"/>
              <w:rPr>
                <w:sz w:val="16"/>
                <w:szCs w:val="16"/>
              </w:rPr>
            </w:pPr>
            <w:r w:rsidRPr="00447FE3">
              <w:rPr>
                <w:rFonts w:hint="eastAsia"/>
                <w:sz w:val="16"/>
                <w:szCs w:val="16"/>
              </w:rPr>
              <w:t>（権限の委任等）</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第104条　主務大臣は、政令で定めるところにより、第35条第１項の規定による報告の徴収、帳簿書類の提出若しくは提示の命令、出頭の命令、質問又は立入検査（第40条第３項から第５項までの規定を施行するために行うものに限る。）（次項及び次条において「報告徴収等」という。）の権限の一部を国土交通大臣に委任することが</w:t>
            </w:r>
            <w:bookmarkStart w:id="0" w:name="_GoBack"/>
            <w:bookmarkEnd w:id="0"/>
            <w:r w:rsidRPr="00447FE3">
              <w:rPr>
                <w:rFonts w:hint="eastAsia"/>
                <w:sz w:val="16"/>
                <w:szCs w:val="16"/>
              </w:rPr>
              <w:t>できる。</w:t>
            </w:r>
          </w:p>
          <w:p w:rsidR="00447FE3" w:rsidRPr="00447FE3" w:rsidRDefault="00447FE3" w:rsidP="00447FE3">
            <w:pPr>
              <w:spacing w:line="220" w:lineRule="exact"/>
              <w:ind w:left="148" w:hangingChars="100" w:hanging="148"/>
              <w:rPr>
                <w:sz w:val="16"/>
                <w:szCs w:val="16"/>
              </w:rPr>
            </w:pPr>
            <w:r w:rsidRPr="00447FE3">
              <w:rPr>
                <w:rFonts w:hint="eastAsia"/>
                <w:sz w:val="16"/>
                <w:szCs w:val="16"/>
              </w:rPr>
              <w:t>２～</w:t>
            </w:r>
            <w:r w:rsidR="00B550CA">
              <w:rPr>
                <w:rFonts w:hint="eastAsia"/>
                <w:sz w:val="16"/>
                <w:szCs w:val="16"/>
              </w:rPr>
              <w:t>６</w:t>
            </w:r>
            <w:r w:rsidRPr="00447FE3">
              <w:rPr>
                <w:rFonts w:hint="eastAsia"/>
                <w:sz w:val="16"/>
                <w:szCs w:val="16"/>
              </w:rPr>
              <w:t xml:space="preserve">　（略）</w:t>
            </w:r>
          </w:p>
          <w:p w:rsidR="00447FE3" w:rsidRPr="00447FE3" w:rsidRDefault="00447FE3" w:rsidP="00447FE3">
            <w:pPr>
              <w:spacing w:line="220" w:lineRule="exact"/>
              <w:ind w:left="148" w:hangingChars="100" w:hanging="148"/>
              <w:rPr>
                <w:sz w:val="16"/>
                <w:szCs w:val="16"/>
              </w:rPr>
            </w:pPr>
          </w:p>
        </w:tc>
      </w:tr>
    </w:tbl>
    <w:p w:rsidR="001F778D" w:rsidRPr="00447FE3" w:rsidRDefault="001F778D" w:rsidP="001F778D">
      <w:pPr>
        <w:jc w:val="center"/>
        <w:rPr>
          <w:szCs w:val="21"/>
        </w:rPr>
      </w:pPr>
    </w:p>
    <w:p w:rsidR="001F778D" w:rsidRPr="00447FE3" w:rsidRDefault="001F778D" w:rsidP="001F778D">
      <w:pPr>
        <w:jc w:val="center"/>
        <w:rPr>
          <w:szCs w:val="21"/>
        </w:rPr>
      </w:pPr>
    </w:p>
    <w:p w:rsidR="001F778D" w:rsidRPr="00447FE3" w:rsidRDefault="001F778D" w:rsidP="001F778D">
      <w:pPr>
        <w:jc w:val="center"/>
        <w:rPr>
          <w:szCs w:val="21"/>
        </w:rPr>
      </w:pPr>
      <w:r w:rsidRPr="00447FE3">
        <w:rPr>
          <w:rFonts w:hint="eastAsia"/>
          <w:szCs w:val="21"/>
        </w:rPr>
        <w:t>第４面</w:t>
      </w:r>
    </w:p>
    <w:tbl>
      <w:tblPr>
        <w:tblStyle w:val="ae"/>
        <w:tblW w:w="0" w:type="auto"/>
        <w:jc w:val="center"/>
        <w:tblCellMar>
          <w:right w:w="85" w:type="dxa"/>
        </w:tblCellMar>
        <w:tblLook w:val="04A0" w:firstRow="1" w:lastRow="0" w:firstColumn="1" w:lastColumn="0" w:noHBand="0" w:noVBand="1"/>
      </w:tblPr>
      <w:tblGrid>
        <w:gridCol w:w="8315"/>
      </w:tblGrid>
      <w:tr w:rsidR="00447FE3" w:rsidRPr="00447FE3" w:rsidTr="008C6D07">
        <w:trPr>
          <w:trHeight w:val="4536"/>
          <w:jc w:val="center"/>
        </w:trPr>
        <w:tc>
          <w:tcPr>
            <w:tcW w:w="8315" w:type="dxa"/>
          </w:tcPr>
          <w:p w:rsidR="008E2488" w:rsidRPr="00447FE3" w:rsidRDefault="008E2488" w:rsidP="00B8030D">
            <w:pPr>
              <w:ind w:left="148" w:hangingChars="100" w:hanging="148"/>
              <w:jc w:val="left"/>
              <w:rPr>
                <w:sz w:val="16"/>
                <w:szCs w:val="16"/>
              </w:rPr>
            </w:pPr>
          </w:p>
          <w:p w:rsidR="00D62CE5" w:rsidRDefault="00D62CE5" w:rsidP="00D62CE5">
            <w:pPr>
              <w:spacing w:line="220" w:lineRule="exact"/>
              <w:rPr>
                <w:sz w:val="16"/>
                <w:szCs w:val="16"/>
              </w:rPr>
            </w:pPr>
          </w:p>
          <w:p w:rsidR="00447FE3" w:rsidRPr="00447FE3" w:rsidRDefault="00447FE3" w:rsidP="00D62CE5">
            <w:pPr>
              <w:spacing w:line="220" w:lineRule="exact"/>
              <w:ind w:leftChars="100" w:left="198"/>
              <w:rPr>
                <w:sz w:val="16"/>
                <w:szCs w:val="16"/>
              </w:rPr>
            </w:pPr>
            <w:r w:rsidRPr="00447FE3">
              <w:rPr>
                <w:rFonts w:hint="eastAsia"/>
                <w:sz w:val="16"/>
                <w:szCs w:val="16"/>
              </w:rPr>
              <w:t>（職権の行使）</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第105条　主務大臣は、報告徴収等に関する事務について、第35条第１項に規定する当該主務大臣の職員の職権を労働基準監督官に行わせることができる。</w:t>
            </w:r>
          </w:p>
          <w:p w:rsidR="00447FE3" w:rsidRPr="00447FE3" w:rsidRDefault="00447FE3" w:rsidP="00447FE3">
            <w:pPr>
              <w:ind w:left="148" w:hangingChars="100" w:hanging="148"/>
              <w:jc w:val="left"/>
              <w:rPr>
                <w:sz w:val="16"/>
                <w:szCs w:val="16"/>
              </w:rPr>
            </w:pPr>
            <w:r w:rsidRPr="00447FE3">
              <w:rPr>
                <w:rFonts w:hint="eastAsia"/>
                <w:sz w:val="16"/>
                <w:szCs w:val="16"/>
              </w:rPr>
              <w:t>２　国土交通大臣は、主務大臣の権限が前条第１項の規定により国土交通大臣に委任された場合には、報告徴収等に関する事務について、第35条第１項に規定する当該主務大臣の職員の職権を船員労務官に行わせることができる。</w:t>
            </w:r>
          </w:p>
          <w:p w:rsidR="008C6D07" w:rsidRPr="00447FE3" w:rsidRDefault="008C6D07" w:rsidP="00B8030D">
            <w:pPr>
              <w:ind w:left="148" w:hangingChars="100" w:hanging="148"/>
              <w:jc w:val="left"/>
              <w:rPr>
                <w:sz w:val="16"/>
                <w:szCs w:val="16"/>
              </w:rPr>
            </w:pPr>
          </w:p>
          <w:p w:rsidR="008C6D07" w:rsidRPr="00447FE3" w:rsidRDefault="008C6D07" w:rsidP="008C6D07">
            <w:pPr>
              <w:jc w:val="left"/>
              <w:rPr>
                <w:sz w:val="16"/>
                <w:szCs w:val="16"/>
              </w:rPr>
            </w:pPr>
          </w:p>
          <w:p w:rsidR="001F778D" w:rsidRPr="00447FE3" w:rsidRDefault="001F778D" w:rsidP="00B8030D">
            <w:pPr>
              <w:ind w:left="148" w:hangingChars="100" w:hanging="148"/>
              <w:jc w:val="left"/>
              <w:rPr>
                <w:kern w:val="0"/>
                <w:sz w:val="16"/>
                <w:szCs w:val="16"/>
              </w:rPr>
            </w:pPr>
            <w:r w:rsidRPr="00447FE3">
              <w:rPr>
                <w:rFonts w:hint="eastAsia"/>
                <w:kern w:val="0"/>
                <w:sz w:val="16"/>
                <w:szCs w:val="16"/>
              </w:rPr>
              <w:t>第112条　次の各号のいずれかに該当する者は、30万円以下の罰金に処する。</w:t>
            </w:r>
          </w:p>
          <w:p w:rsidR="001F778D" w:rsidRPr="00447FE3" w:rsidRDefault="001F778D" w:rsidP="00B8030D">
            <w:pPr>
              <w:ind w:leftChars="100" w:left="346" w:hangingChars="100" w:hanging="148"/>
              <w:jc w:val="left"/>
              <w:rPr>
                <w:sz w:val="16"/>
                <w:szCs w:val="16"/>
              </w:rPr>
            </w:pPr>
            <w:r w:rsidRPr="00447FE3">
              <w:rPr>
                <w:rFonts w:hint="eastAsia"/>
                <w:sz w:val="16"/>
                <w:szCs w:val="16"/>
              </w:rPr>
              <w:t>一　第13条第１項又は第35条第１項の規定による報告若しくは帳簿書類の提出若しくは提示をせず、若しくは虚偽の報告若しくは虚偽の帳簿書類の提出若しくは提示をし、又はこれらの規定による質問に対して答弁をせず、若しくは虚偽の答弁をし、若しくはこれらの規定による検査を拒み、妨げ、若しくは忌避した者</w:t>
            </w:r>
          </w:p>
          <w:p w:rsidR="001F778D" w:rsidRPr="00447FE3" w:rsidRDefault="001F778D" w:rsidP="00B8030D">
            <w:pPr>
              <w:ind w:leftChars="100" w:left="346" w:hangingChars="100" w:hanging="148"/>
              <w:jc w:val="left"/>
              <w:rPr>
                <w:sz w:val="16"/>
                <w:szCs w:val="16"/>
              </w:rPr>
            </w:pPr>
            <w:r w:rsidRPr="00447FE3">
              <w:rPr>
                <w:rFonts w:hint="eastAsia"/>
                <w:sz w:val="16"/>
                <w:szCs w:val="16"/>
              </w:rPr>
              <w:t>二～</w:t>
            </w:r>
            <w:r w:rsidR="008C6D07" w:rsidRPr="00447FE3">
              <w:rPr>
                <w:rFonts w:hint="eastAsia"/>
                <w:sz w:val="16"/>
                <w:szCs w:val="16"/>
              </w:rPr>
              <w:t>十二</w:t>
            </w:r>
            <w:r w:rsidRPr="00447FE3">
              <w:rPr>
                <w:rFonts w:hint="eastAsia"/>
                <w:sz w:val="16"/>
                <w:szCs w:val="16"/>
              </w:rPr>
              <w:t xml:space="preserve">　（略）</w:t>
            </w:r>
          </w:p>
          <w:p w:rsidR="008C6D07" w:rsidRPr="00447FE3" w:rsidRDefault="008C6D07" w:rsidP="00B8030D">
            <w:pPr>
              <w:ind w:leftChars="100" w:left="346" w:hangingChars="100" w:hanging="148"/>
              <w:jc w:val="left"/>
              <w:rPr>
                <w:sz w:val="16"/>
                <w:szCs w:val="16"/>
              </w:rPr>
            </w:pPr>
          </w:p>
          <w:p w:rsidR="00E90BB5" w:rsidRPr="00447FE3" w:rsidRDefault="00E90BB5" w:rsidP="00E90BB5">
            <w:pPr>
              <w:spacing w:afterLines="50" w:after="167"/>
              <w:ind w:left="148" w:hangingChars="100" w:hanging="148"/>
              <w:jc w:val="left"/>
              <w:rPr>
                <w:sz w:val="16"/>
                <w:szCs w:val="16"/>
              </w:rPr>
            </w:pPr>
            <w:r w:rsidRPr="00447FE3">
              <w:rPr>
                <w:rFonts w:hint="eastAsia"/>
                <w:sz w:val="16"/>
                <w:szCs w:val="16"/>
              </w:rPr>
              <w:t>第113条　法人の代表者又は法人若しくは人の代理人、使用人その他の従業者が、その法人又は人の業務に関して、第108条、第109条、第110条（第44条に係る部分に限る。）、第111条及び前条（第12号を除く。）の違反行為をしたときは、行為者を罰するほか、その法人又は人に対しても、各本条の罰金刑を科する。</w:t>
            </w:r>
          </w:p>
        </w:tc>
      </w:tr>
    </w:tbl>
    <w:p w:rsidR="001F778D" w:rsidRPr="00447FE3" w:rsidRDefault="001F778D" w:rsidP="001F778D">
      <w:pPr>
        <w:rPr>
          <w:sz w:val="16"/>
        </w:rPr>
      </w:pPr>
      <w:r w:rsidRPr="00447FE3">
        <w:rPr>
          <w:rFonts w:hint="eastAsia"/>
          <w:sz w:val="16"/>
        </w:rPr>
        <w:t xml:space="preserve">　　　　　　　　　（備考）用紙の大きさは、日本</w:t>
      </w:r>
      <w:r w:rsidR="00F05265">
        <w:rPr>
          <w:rFonts w:hint="eastAsia"/>
          <w:sz w:val="16"/>
        </w:rPr>
        <w:t>産業</w:t>
      </w:r>
      <w:r w:rsidRPr="00447FE3">
        <w:rPr>
          <w:rFonts w:hint="eastAsia"/>
          <w:sz w:val="16"/>
        </w:rPr>
        <w:t>規格Ｂ７とすること。</w:t>
      </w:r>
    </w:p>
    <w:p w:rsidR="001F778D" w:rsidRPr="00447FE3" w:rsidRDefault="001F778D" w:rsidP="0064024E">
      <w:pPr>
        <w:rPr>
          <w:sz w:val="16"/>
        </w:rPr>
      </w:pPr>
    </w:p>
    <w:sectPr w:rsidR="001F778D" w:rsidRPr="00447FE3">
      <w:footerReference w:type="even" r:id="rId7"/>
      <w:pgSz w:w="11907" w:h="16840" w:code="9"/>
      <w:pgMar w:top="1701" w:right="612" w:bottom="1701" w:left="612" w:header="284" w:footer="284" w:gutter="0"/>
      <w:cols w:space="425"/>
      <w:docGrid w:type="linesAndChars" w:linePitch="334" w:charSpace="-2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3A3" w:rsidRDefault="00EF73A3" w:rsidP="00BE6AC8">
      <w:r>
        <w:separator/>
      </w:r>
    </w:p>
  </w:endnote>
  <w:endnote w:type="continuationSeparator" w:id="0">
    <w:p w:rsidR="00EF73A3" w:rsidRDefault="00EF73A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93" w:rsidRDefault="001212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1293" w:rsidRDefault="001212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3A3" w:rsidRDefault="00EF73A3" w:rsidP="00BE6AC8">
      <w:r>
        <w:separator/>
      </w:r>
    </w:p>
  </w:footnote>
  <w:footnote w:type="continuationSeparator" w:id="0">
    <w:p w:rsidR="00EF73A3" w:rsidRDefault="00EF73A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197"/>
  <w:drawingGridVerticalSpacing w:val="167"/>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5"/>
    <w:rsid w:val="000054C5"/>
    <w:rsid w:val="00014C38"/>
    <w:rsid w:val="00021F4C"/>
    <w:rsid w:val="00054B86"/>
    <w:rsid w:val="00074E24"/>
    <w:rsid w:val="00076BC4"/>
    <w:rsid w:val="000C183D"/>
    <w:rsid w:val="000C2A82"/>
    <w:rsid w:val="000F0FAD"/>
    <w:rsid w:val="000F34AA"/>
    <w:rsid w:val="001167F5"/>
    <w:rsid w:val="00121293"/>
    <w:rsid w:val="00161496"/>
    <w:rsid w:val="001C4BCE"/>
    <w:rsid w:val="001D45A6"/>
    <w:rsid w:val="001F778D"/>
    <w:rsid w:val="00217300"/>
    <w:rsid w:val="0023025F"/>
    <w:rsid w:val="00242B6E"/>
    <w:rsid w:val="00255B32"/>
    <w:rsid w:val="00274D46"/>
    <w:rsid w:val="002C48AA"/>
    <w:rsid w:val="002E24E1"/>
    <w:rsid w:val="00351D8E"/>
    <w:rsid w:val="0036072C"/>
    <w:rsid w:val="00364CCF"/>
    <w:rsid w:val="00365C66"/>
    <w:rsid w:val="003904E9"/>
    <w:rsid w:val="003B51AC"/>
    <w:rsid w:val="003D242A"/>
    <w:rsid w:val="003E390C"/>
    <w:rsid w:val="003F1529"/>
    <w:rsid w:val="003F6AFB"/>
    <w:rsid w:val="00416B78"/>
    <w:rsid w:val="00447FE3"/>
    <w:rsid w:val="00535FAE"/>
    <w:rsid w:val="0064024E"/>
    <w:rsid w:val="00654265"/>
    <w:rsid w:val="007137FC"/>
    <w:rsid w:val="00715B62"/>
    <w:rsid w:val="007C0B2A"/>
    <w:rsid w:val="007C0B6F"/>
    <w:rsid w:val="007E150F"/>
    <w:rsid w:val="008A4F98"/>
    <w:rsid w:val="008B2569"/>
    <w:rsid w:val="008C6D07"/>
    <w:rsid w:val="008E2488"/>
    <w:rsid w:val="009F21B6"/>
    <w:rsid w:val="009F60BB"/>
    <w:rsid w:val="009F70E1"/>
    <w:rsid w:val="00A07FF5"/>
    <w:rsid w:val="00A107E1"/>
    <w:rsid w:val="00A135A9"/>
    <w:rsid w:val="00A3107F"/>
    <w:rsid w:val="00A40BF9"/>
    <w:rsid w:val="00A4209B"/>
    <w:rsid w:val="00A4360E"/>
    <w:rsid w:val="00A82597"/>
    <w:rsid w:val="00B26531"/>
    <w:rsid w:val="00B3268C"/>
    <w:rsid w:val="00B441CA"/>
    <w:rsid w:val="00B550CA"/>
    <w:rsid w:val="00BB2CA0"/>
    <w:rsid w:val="00BE3998"/>
    <w:rsid w:val="00BE6AC8"/>
    <w:rsid w:val="00BF36E8"/>
    <w:rsid w:val="00C20E70"/>
    <w:rsid w:val="00C82DF4"/>
    <w:rsid w:val="00CB3B87"/>
    <w:rsid w:val="00CD5FCD"/>
    <w:rsid w:val="00CD6957"/>
    <w:rsid w:val="00CF11B5"/>
    <w:rsid w:val="00CF22B0"/>
    <w:rsid w:val="00D03A31"/>
    <w:rsid w:val="00D272AD"/>
    <w:rsid w:val="00D52CDD"/>
    <w:rsid w:val="00D56613"/>
    <w:rsid w:val="00D62CE5"/>
    <w:rsid w:val="00D7400F"/>
    <w:rsid w:val="00DB2A88"/>
    <w:rsid w:val="00DB68BD"/>
    <w:rsid w:val="00DE5A4B"/>
    <w:rsid w:val="00E53A50"/>
    <w:rsid w:val="00E90BB5"/>
    <w:rsid w:val="00E90D05"/>
    <w:rsid w:val="00EF73A3"/>
    <w:rsid w:val="00F05265"/>
    <w:rsid w:val="00F60875"/>
    <w:rsid w:val="00FA6E6D"/>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C17560F2-3D3F-4890-B090-860535CC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07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F36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36E8"/>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A4360E"/>
    <w:rPr>
      <w:sz w:val="18"/>
      <w:szCs w:val="18"/>
    </w:rPr>
  </w:style>
  <w:style w:type="paragraph" w:styleId="af2">
    <w:name w:val="annotation text"/>
    <w:basedOn w:val="a"/>
    <w:link w:val="af3"/>
    <w:uiPriority w:val="99"/>
    <w:semiHidden/>
    <w:unhideWhenUsed/>
    <w:rsid w:val="00A4360E"/>
    <w:pPr>
      <w:jc w:val="left"/>
    </w:pPr>
  </w:style>
  <w:style w:type="character" w:customStyle="1" w:styleId="af3">
    <w:name w:val="コメント文字列 (文字)"/>
    <w:basedOn w:val="a0"/>
    <w:link w:val="af2"/>
    <w:uiPriority w:val="99"/>
    <w:semiHidden/>
    <w:rsid w:val="00A4360E"/>
    <w:rPr>
      <w:rFonts w:ascii="ＭＳ 明朝"/>
      <w:kern w:val="2"/>
      <w:sz w:val="21"/>
    </w:rPr>
  </w:style>
  <w:style w:type="paragraph" w:styleId="af4">
    <w:name w:val="annotation subject"/>
    <w:basedOn w:val="af2"/>
    <w:next w:val="af2"/>
    <w:link w:val="af5"/>
    <w:uiPriority w:val="99"/>
    <w:semiHidden/>
    <w:unhideWhenUsed/>
    <w:rsid w:val="00A4360E"/>
    <w:rPr>
      <w:b/>
      <w:bCs/>
    </w:rPr>
  </w:style>
  <w:style w:type="character" w:customStyle="1" w:styleId="af5">
    <w:name w:val="コメント内容 (文字)"/>
    <w:basedOn w:val="af3"/>
    <w:link w:val="af4"/>
    <w:uiPriority w:val="99"/>
    <w:semiHidden/>
    <w:rsid w:val="00A4360E"/>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0876">
      <w:bodyDiv w:val="1"/>
      <w:marLeft w:val="0"/>
      <w:marRight w:val="0"/>
      <w:marTop w:val="0"/>
      <w:marBottom w:val="0"/>
      <w:divBdr>
        <w:top w:val="none" w:sz="0" w:space="0" w:color="auto"/>
        <w:left w:val="none" w:sz="0" w:space="0" w:color="auto"/>
        <w:bottom w:val="none" w:sz="0" w:space="0" w:color="auto"/>
        <w:right w:val="none" w:sz="0" w:space="0" w:color="auto"/>
      </w:divBdr>
    </w:div>
    <w:div w:id="9953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0B05-09F2-40C9-BB82-5EEB44E9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313</Words>
  <Characters>1789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